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421C" w14:textId="399F21C7" w:rsidR="009034B7" w:rsidRPr="00B406D7" w:rsidRDefault="009034B7" w:rsidP="009034B7">
      <w:pPr>
        <w:ind w:right="51"/>
        <w:jc w:val="center"/>
        <w:rPr>
          <w:rFonts w:ascii="Verdana" w:hAnsi="Verdana" w:cs="Arial"/>
          <w:b/>
          <w:sz w:val="24"/>
          <w:szCs w:val="24"/>
        </w:rPr>
      </w:pPr>
      <w:r w:rsidRPr="00B406D7">
        <w:rPr>
          <w:rFonts w:ascii="Verdana" w:hAnsi="Verdana" w:cs="Arial"/>
          <w:b/>
          <w:sz w:val="24"/>
          <w:szCs w:val="24"/>
        </w:rPr>
        <w:t xml:space="preserve">MEMORIA JUSTIFICATIVA DEL PROYECTO DE </w:t>
      </w:r>
      <w:r w:rsidR="00EC3F77" w:rsidRPr="00B406D7">
        <w:rPr>
          <w:rFonts w:ascii="Verdana" w:hAnsi="Verdana" w:cs="Arial"/>
          <w:b/>
          <w:sz w:val="24"/>
          <w:szCs w:val="24"/>
        </w:rPr>
        <w:t>RESOLUCIÓN</w:t>
      </w:r>
    </w:p>
    <w:p w14:paraId="212CEC29" w14:textId="361567CF" w:rsidR="00901930" w:rsidRPr="00B406D7" w:rsidRDefault="00901930" w:rsidP="00C64BD0">
      <w:pPr>
        <w:pStyle w:val="Normal11pt"/>
        <w:ind w:left="0" w:right="51"/>
        <w:jc w:val="center"/>
        <w:rPr>
          <w:rFonts w:ascii="Verdana" w:hAnsi="Verdana"/>
          <w:i/>
          <w:iCs/>
          <w:lang w:val="es-CO" w:eastAsia="x-none"/>
        </w:rPr>
      </w:pPr>
      <w:r w:rsidRPr="00B406D7">
        <w:rPr>
          <w:rFonts w:ascii="Verdana" w:hAnsi="Verdana"/>
          <w:i/>
          <w:iCs/>
          <w:lang w:val="es-CO" w:eastAsia="x-none"/>
        </w:rPr>
        <w:t>“Por la cual s</w:t>
      </w:r>
      <w:r w:rsidR="00FE6C4D" w:rsidRPr="00B406D7">
        <w:rPr>
          <w:rFonts w:ascii="Verdana" w:hAnsi="Verdana"/>
          <w:i/>
          <w:iCs/>
          <w:lang w:val="es-CO" w:eastAsia="x-none"/>
        </w:rPr>
        <w:t xml:space="preserve">e adopta la versión </w:t>
      </w:r>
      <w:r w:rsidR="00040214" w:rsidRPr="00B406D7">
        <w:rPr>
          <w:rFonts w:ascii="Verdana" w:hAnsi="Verdana"/>
          <w:i/>
          <w:iCs/>
          <w:lang w:val="es-CO" w:eastAsia="x-none"/>
        </w:rPr>
        <w:t>2</w:t>
      </w:r>
      <w:r w:rsidR="00FE6C4D" w:rsidRPr="00B406D7">
        <w:rPr>
          <w:rFonts w:ascii="Verdana" w:hAnsi="Verdana"/>
          <w:i/>
          <w:iCs/>
          <w:lang w:val="es-CO" w:eastAsia="x-none"/>
        </w:rPr>
        <w:t xml:space="preserve"> de</w:t>
      </w:r>
      <w:r w:rsidRPr="00B406D7">
        <w:rPr>
          <w:rFonts w:ascii="Verdana" w:hAnsi="Verdana"/>
          <w:i/>
          <w:iCs/>
          <w:lang w:val="es-CO" w:eastAsia="x-none"/>
        </w:rPr>
        <w:t xml:space="preserve"> los Documentos Tipo </w:t>
      </w:r>
      <w:r w:rsidR="00CB2ECB" w:rsidRPr="00B406D7">
        <w:rPr>
          <w:rFonts w:ascii="Verdana" w:hAnsi="Verdana"/>
          <w:i/>
          <w:iCs/>
          <w:lang w:val="es-CO" w:eastAsia="x-none"/>
        </w:rPr>
        <w:t>para los procesos de selección de</w:t>
      </w:r>
      <w:r w:rsidR="00795640" w:rsidRPr="00B406D7">
        <w:rPr>
          <w:rFonts w:ascii="Verdana" w:hAnsi="Verdana"/>
          <w:i/>
          <w:iCs/>
          <w:lang w:val="es-CO" w:eastAsia="x-none"/>
        </w:rPr>
        <w:t xml:space="preserve"> concurso de méritos para contratar </w:t>
      </w:r>
      <w:r w:rsidR="00973A0D" w:rsidRPr="00B406D7">
        <w:rPr>
          <w:rFonts w:ascii="Verdana" w:hAnsi="Verdana"/>
          <w:i/>
          <w:iCs/>
          <w:lang w:val="es-CO" w:eastAsia="x-none"/>
        </w:rPr>
        <w:t>la cons</w:t>
      </w:r>
      <w:r w:rsidR="006D0A8C" w:rsidRPr="00B406D7">
        <w:rPr>
          <w:rFonts w:ascii="Verdana" w:hAnsi="Verdana"/>
          <w:i/>
          <w:iCs/>
          <w:lang w:val="es-CO" w:eastAsia="x-none"/>
        </w:rPr>
        <w:t xml:space="preserve">ultoría de estudios de ingeniería de infraestructura de transporte </w:t>
      </w:r>
      <w:r w:rsidR="00345280" w:rsidRPr="00B406D7">
        <w:rPr>
          <w:rFonts w:ascii="Verdana" w:hAnsi="Verdana"/>
          <w:i/>
          <w:iCs/>
          <w:lang w:val="es-CO" w:eastAsia="x-none"/>
        </w:rPr>
        <w:t>y se deroga la Resolució</w:t>
      </w:r>
      <w:r w:rsidR="00116724" w:rsidRPr="00B406D7">
        <w:rPr>
          <w:rFonts w:ascii="Verdana" w:hAnsi="Verdana"/>
          <w:i/>
          <w:iCs/>
          <w:lang w:val="es-CO" w:eastAsia="x-none"/>
        </w:rPr>
        <w:t xml:space="preserve">n </w:t>
      </w:r>
      <w:r w:rsidR="005E2D49" w:rsidRPr="00B406D7">
        <w:rPr>
          <w:rFonts w:ascii="Verdana" w:hAnsi="Verdana"/>
          <w:i/>
          <w:iCs/>
          <w:lang w:val="es-CO" w:eastAsia="x-none"/>
        </w:rPr>
        <w:t xml:space="preserve">193 </w:t>
      </w:r>
      <w:r w:rsidR="00A02C7C" w:rsidRPr="00B406D7">
        <w:rPr>
          <w:rFonts w:ascii="Verdana" w:hAnsi="Verdana"/>
          <w:i/>
          <w:iCs/>
          <w:lang w:val="es-CO" w:eastAsia="x-none"/>
        </w:rPr>
        <w:t>de 202</w:t>
      </w:r>
      <w:r w:rsidR="005E2D49" w:rsidRPr="00B406D7">
        <w:rPr>
          <w:rFonts w:ascii="Verdana" w:hAnsi="Verdana"/>
          <w:i/>
          <w:iCs/>
          <w:lang w:val="es-CO" w:eastAsia="x-none"/>
        </w:rPr>
        <w:t>1</w:t>
      </w:r>
      <w:r w:rsidR="00116724" w:rsidRPr="00B406D7">
        <w:rPr>
          <w:rFonts w:ascii="Verdana" w:hAnsi="Verdana"/>
          <w:i/>
          <w:iCs/>
          <w:lang w:val="es-CO" w:eastAsia="x-none"/>
        </w:rPr>
        <w:t>”</w:t>
      </w:r>
    </w:p>
    <w:p w14:paraId="477D2C08" w14:textId="77777777" w:rsidR="00185277" w:rsidRPr="00B406D7" w:rsidRDefault="00185277" w:rsidP="009034B7">
      <w:pPr>
        <w:pStyle w:val="Normal11pt"/>
        <w:ind w:left="0" w:right="51"/>
        <w:rPr>
          <w:rFonts w:ascii="Verdana" w:hAnsi="Verdana"/>
          <w:color w:val="auto"/>
        </w:rPr>
      </w:pPr>
    </w:p>
    <w:p w14:paraId="166CEDC9" w14:textId="1F5F5E5B" w:rsidR="00404868" w:rsidRPr="00B406D7" w:rsidRDefault="00185277" w:rsidP="009034B7">
      <w:pPr>
        <w:pStyle w:val="Normal11pt"/>
        <w:ind w:left="0" w:right="51"/>
        <w:rPr>
          <w:rFonts w:ascii="Verdana" w:hAnsi="Verdana"/>
          <w:color w:val="auto"/>
        </w:rPr>
      </w:pPr>
      <w:r w:rsidRPr="00B406D7">
        <w:rPr>
          <w:rFonts w:ascii="Verdana" w:hAnsi="Verdana"/>
          <w:color w:val="auto"/>
        </w:rPr>
        <w:t>E</w:t>
      </w:r>
      <w:r w:rsidR="009034B7" w:rsidRPr="00B406D7">
        <w:rPr>
          <w:rFonts w:ascii="Verdana" w:hAnsi="Verdana"/>
          <w:color w:val="auto"/>
        </w:rPr>
        <w:t>l presente escrito contiene el soporte técnico de</w:t>
      </w:r>
      <w:r w:rsidR="007165A0" w:rsidRPr="00B406D7">
        <w:rPr>
          <w:rFonts w:ascii="Verdana" w:hAnsi="Verdana"/>
          <w:color w:val="auto"/>
        </w:rPr>
        <w:t xml:space="preserve"> la </w:t>
      </w:r>
      <w:r w:rsidR="00FC47AF" w:rsidRPr="00B406D7">
        <w:rPr>
          <w:rFonts w:ascii="Verdana" w:hAnsi="Verdana"/>
          <w:color w:val="auto"/>
        </w:rPr>
        <w:t>r</w:t>
      </w:r>
      <w:r w:rsidR="007165A0" w:rsidRPr="00B406D7">
        <w:rPr>
          <w:rFonts w:ascii="Verdana" w:hAnsi="Verdana"/>
          <w:color w:val="auto"/>
        </w:rPr>
        <w:t>esolución</w:t>
      </w:r>
      <w:r w:rsidR="009034B7" w:rsidRPr="00B406D7">
        <w:rPr>
          <w:rFonts w:ascii="Verdana" w:hAnsi="Verdana"/>
          <w:color w:val="auto"/>
        </w:rPr>
        <w:t xml:space="preserve"> mediante </w:t>
      </w:r>
      <w:r w:rsidR="00652215" w:rsidRPr="00B406D7">
        <w:rPr>
          <w:rFonts w:ascii="Verdana" w:hAnsi="Verdana"/>
          <w:color w:val="auto"/>
        </w:rPr>
        <w:t>la</w:t>
      </w:r>
      <w:r w:rsidR="009034B7" w:rsidRPr="00B406D7">
        <w:rPr>
          <w:rFonts w:ascii="Verdana" w:hAnsi="Verdana"/>
          <w:color w:val="auto"/>
        </w:rPr>
        <w:t xml:space="preserve"> cual </w:t>
      </w:r>
      <w:r w:rsidR="007165A0" w:rsidRPr="00B406D7">
        <w:rPr>
          <w:rFonts w:ascii="Verdana" w:hAnsi="Verdana"/>
          <w:color w:val="auto"/>
        </w:rPr>
        <w:t>la Agencia Nacional de Contratación Pública</w:t>
      </w:r>
      <w:r w:rsidR="00116724" w:rsidRPr="00B406D7">
        <w:rPr>
          <w:rFonts w:ascii="Verdana" w:hAnsi="Verdana"/>
          <w:color w:val="auto"/>
        </w:rPr>
        <w:t xml:space="preserve"> – Colombia Compra Eficiente</w:t>
      </w:r>
      <w:r w:rsidR="009034B7" w:rsidRPr="00B406D7">
        <w:rPr>
          <w:rFonts w:ascii="Verdana" w:hAnsi="Verdana"/>
          <w:color w:val="auto"/>
        </w:rPr>
        <w:t xml:space="preserve"> </w:t>
      </w:r>
      <w:r w:rsidR="0074342D" w:rsidRPr="00B406D7">
        <w:rPr>
          <w:rFonts w:ascii="Verdana" w:hAnsi="Verdana"/>
          <w:color w:val="auto"/>
        </w:rPr>
        <w:t xml:space="preserve">adopta </w:t>
      </w:r>
      <w:r w:rsidR="00901930" w:rsidRPr="00B406D7">
        <w:rPr>
          <w:rFonts w:ascii="Verdana" w:hAnsi="Verdana"/>
          <w:color w:val="auto"/>
        </w:rPr>
        <w:t>los Documentos Tipo para</w:t>
      </w:r>
      <w:r w:rsidR="0074728E" w:rsidRPr="00B406D7">
        <w:rPr>
          <w:rFonts w:ascii="Verdana" w:hAnsi="Verdana"/>
          <w:color w:val="auto"/>
        </w:rPr>
        <w:t xml:space="preserve"> los</w:t>
      </w:r>
      <w:r w:rsidR="006955ED" w:rsidRPr="00B406D7">
        <w:rPr>
          <w:rFonts w:ascii="Verdana" w:hAnsi="Verdana"/>
          <w:color w:val="auto"/>
        </w:rPr>
        <w:t xml:space="preserve"> procesos de</w:t>
      </w:r>
      <w:r w:rsidR="00A02C7C" w:rsidRPr="00B406D7">
        <w:rPr>
          <w:rFonts w:ascii="Verdana" w:hAnsi="Verdana"/>
          <w:color w:val="auto"/>
        </w:rPr>
        <w:t xml:space="preserve"> selección de concurso de méritos para contratar la </w:t>
      </w:r>
      <w:r w:rsidR="005E2D49" w:rsidRPr="00B406D7">
        <w:rPr>
          <w:rFonts w:ascii="Verdana" w:hAnsi="Verdana"/>
          <w:color w:val="auto"/>
        </w:rPr>
        <w:t xml:space="preserve">consultoría de estudios de ingeniería </w:t>
      </w:r>
      <w:r w:rsidR="00A02C7C" w:rsidRPr="00B406D7">
        <w:rPr>
          <w:rFonts w:ascii="Verdana" w:hAnsi="Verdana"/>
          <w:color w:val="auto"/>
        </w:rPr>
        <w:t xml:space="preserve">de infraestructura de transporte </w:t>
      </w:r>
      <w:r w:rsidR="00542D17" w:rsidRPr="00B406D7">
        <w:rPr>
          <w:rFonts w:ascii="Verdana" w:hAnsi="Verdana"/>
          <w:color w:val="auto"/>
        </w:rPr>
        <w:t xml:space="preserve">–versión </w:t>
      </w:r>
      <w:r w:rsidR="00181DED" w:rsidRPr="00B406D7">
        <w:rPr>
          <w:rFonts w:ascii="Verdana" w:hAnsi="Verdana"/>
          <w:color w:val="auto"/>
        </w:rPr>
        <w:t>2</w:t>
      </w:r>
      <w:r w:rsidR="00542D17" w:rsidRPr="00B406D7">
        <w:rPr>
          <w:rFonts w:ascii="Verdana" w:hAnsi="Verdana"/>
          <w:color w:val="auto"/>
        </w:rPr>
        <w:t xml:space="preserve">– y se deroga la Resolución </w:t>
      </w:r>
      <w:r w:rsidR="00751CBB" w:rsidRPr="00B406D7">
        <w:rPr>
          <w:rFonts w:ascii="Verdana" w:hAnsi="Verdana"/>
          <w:color w:val="auto"/>
        </w:rPr>
        <w:t>193</w:t>
      </w:r>
      <w:r w:rsidR="00A02C7C" w:rsidRPr="00B406D7">
        <w:rPr>
          <w:rFonts w:ascii="Verdana" w:hAnsi="Verdana"/>
          <w:color w:val="auto"/>
        </w:rPr>
        <w:t xml:space="preserve"> de 202</w:t>
      </w:r>
      <w:r w:rsidR="00751CBB" w:rsidRPr="00B406D7">
        <w:rPr>
          <w:rFonts w:ascii="Verdana" w:hAnsi="Verdana"/>
          <w:color w:val="auto"/>
        </w:rPr>
        <w:t>1</w:t>
      </w:r>
      <w:r w:rsidR="00542D17" w:rsidRPr="00B406D7">
        <w:rPr>
          <w:rFonts w:ascii="Verdana" w:hAnsi="Verdana"/>
          <w:color w:val="auto"/>
        </w:rPr>
        <w:t>.</w:t>
      </w:r>
    </w:p>
    <w:p w14:paraId="60F9CC85" w14:textId="77777777" w:rsidR="00027C9A" w:rsidRPr="00B406D7" w:rsidRDefault="00027C9A" w:rsidP="009034B7">
      <w:pPr>
        <w:pStyle w:val="Normal11pt"/>
        <w:ind w:left="0" w:right="51"/>
        <w:rPr>
          <w:rFonts w:ascii="Verdana" w:hAnsi="Verdana"/>
          <w:i/>
          <w:color w:val="auto"/>
          <w:lang w:val="es-ES"/>
        </w:rPr>
      </w:pPr>
    </w:p>
    <w:p w14:paraId="31269A92" w14:textId="722CEB02" w:rsidR="009034B7" w:rsidRPr="00B406D7" w:rsidRDefault="00B406D7" w:rsidP="009034B7">
      <w:pPr>
        <w:numPr>
          <w:ilvl w:val="0"/>
          <w:numId w:val="1"/>
        </w:numPr>
        <w:spacing w:after="0" w:line="240" w:lineRule="auto"/>
        <w:ind w:left="0" w:right="51" w:firstLine="0"/>
        <w:jc w:val="both"/>
        <w:rPr>
          <w:rFonts w:ascii="Verdana" w:hAnsi="Verdana" w:cs="Arial"/>
          <w:b/>
          <w:sz w:val="24"/>
          <w:szCs w:val="24"/>
          <w:lang w:val="es-ES_tradnl"/>
        </w:rPr>
      </w:pPr>
      <w:r w:rsidRPr="00B406D7">
        <w:rPr>
          <w:rFonts w:ascii="Verdana" w:hAnsi="Verdana" w:cs="Arial"/>
          <w:b/>
          <w:sz w:val="24"/>
          <w:szCs w:val="24"/>
          <w:lang w:val="es-ES_tradnl"/>
        </w:rPr>
        <w:t xml:space="preserve">ANTECEDENTES </w:t>
      </w:r>
    </w:p>
    <w:p w14:paraId="3104A144" w14:textId="77777777" w:rsidR="009034B7" w:rsidRPr="00B406D7" w:rsidRDefault="009034B7" w:rsidP="009034B7">
      <w:pPr>
        <w:spacing w:after="0" w:line="240" w:lineRule="auto"/>
        <w:ind w:right="51"/>
        <w:jc w:val="both"/>
        <w:rPr>
          <w:rFonts w:ascii="Verdana" w:hAnsi="Verdana" w:cs="Arial"/>
          <w:b/>
          <w:lang w:val="es-ES_tradnl"/>
        </w:rPr>
      </w:pPr>
    </w:p>
    <w:p w14:paraId="63125797" w14:textId="7D9AA94E" w:rsidR="0092248E" w:rsidRPr="00B406D7" w:rsidRDefault="002638FE" w:rsidP="00C50410">
      <w:pPr>
        <w:spacing w:after="0" w:line="240" w:lineRule="auto"/>
        <w:jc w:val="both"/>
        <w:rPr>
          <w:rFonts w:ascii="Verdana" w:eastAsia="Times New Roman" w:hAnsi="Verdana" w:cs="Arial"/>
          <w:lang w:val="es-ES_tradnl" w:eastAsia="es-ES"/>
        </w:rPr>
      </w:pPr>
      <w:r w:rsidRPr="00B406D7">
        <w:rPr>
          <w:rFonts w:ascii="Verdana" w:eastAsia="Times New Roman" w:hAnsi="Verdana" w:cs="Arial"/>
          <w:lang w:val="es-ES_tradnl" w:eastAsia="es-ES"/>
        </w:rPr>
        <w:t>La Ley 2022 de 2020 facultó a la Agencia Nacional de Contratación Pública –Colombia Compra Eficiente– para adoptar documentos tipo que serán de obligatorio cumplimiento en la actividad contractual de todas las entidades sometidas al Estatuto General de Contratación de la Administración Pública. Asimismo, señala que serán de uso obligatorio los documentos tipo para los pliegos de condiciones de los procesos de selección de obras públicas, interventoría para las obras públicas, interventoría para consultoría de estudios y diseños para obras públicas, consultoría en ingeniería para obras, que lleven a cabo todas las entidades sometidas al Estatuto General de Contratación de la Administración Pública, en los términos fijados mediante la reglamentación correspondiente.</w:t>
      </w:r>
      <w:r w:rsidR="002C376B" w:rsidRPr="00B406D7">
        <w:rPr>
          <w:rFonts w:ascii="Verdana" w:eastAsia="Times New Roman" w:hAnsi="Verdana" w:cs="Arial"/>
          <w:lang w:val="es-ES_tradnl" w:eastAsia="es-ES"/>
        </w:rPr>
        <w:t xml:space="preserve"> Esto significa que son vinculantes para la el</w:t>
      </w:r>
      <w:r w:rsidR="00E94207" w:rsidRPr="00B406D7">
        <w:rPr>
          <w:rFonts w:ascii="Verdana" w:eastAsia="Times New Roman" w:hAnsi="Verdana" w:cs="Arial"/>
          <w:lang w:val="es-ES_tradnl" w:eastAsia="es-ES"/>
        </w:rPr>
        <w:t xml:space="preserve">aboración del pliego de condiciones y demás documentos del proceso que se enmarquen en su ámbito de aplicación. </w:t>
      </w:r>
    </w:p>
    <w:p w14:paraId="263CAB47" w14:textId="77777777" w:rsidR="00C50410" w:rsidRPr="00B406D7" w:rsidRDefault="00C50410" w:rsidP="00C50410">
      <w:pPr>
        <w:spacing w:after="0" w:line="240" w:lineRule="auto"/>
        <w:jc w:val="both"/>
        <w:rPr>
          <w:rFonts w:ascii="Verdana" w:eastAsia="Times New Roman" w:hAnsi="Verdana" w:cs="Arial"/>
          <w:lang w:val="es-ES_tradnl" w:eastAsia="es-ES"/>
        </w:rPr>
      </w:pPr>
    </w:p>
    <w:p w14:paraId="0135AE06" w14:textId="57CCA06E" w:rsidR="00330838" w:rsidRPr="00B406D7" w:rsidRDefault="00C50410" w:rsidP="00C50410">
      <w:pPr>
        <w:spacing w:after="0" w:line="240" w:lineRule="auto"/>
        <w:jc w:val="both"/>
        <w:rPr>
          <w:rFonts w:ascii="Verdana" w:eastAsia="Times New Roman" w:hAnsi="Verdana" w:cs="Arial"/>
          <w:lang w:val="es-ES_tradnl" w:eastAsia="es-ES"/>
        </w:rPr>
      </w:pPr>
      <w:r w:rsidRPr="00B406D7">
        <w:rPr>
          <w:rFonts w:ascii="Verdana" w:eastAsia="Times New Roman" w:hAnsi="Verdana" w:cs="Arial"/>
          <w:lang w:val="es-ES_tradnl" w:eastAsia="es-ES"/>
        </w:rPr>
        <w:t xml:space="preserve">En armonía con lo anterior, </w:t>
      </w:r>
      <w:r w:rsidR="000742C7" w:rsidRPr="00B406D7">
        <w:rPr>
          <w:rFonts w:ascii="Verdana" w:eastAsia="Times New Roman" w:hAnsi="Verdana" w:cs="Arial"/>
          <w:lang w:val="es-ES_tradnl" w:eastAsia="es-ES"/>
        </w:rPr>
        <w:t xml:space="preserve">la Agencia Nacional de Contratación Pública – Colombia Compra Eficiente adoptó </w:t>
      </w:r>
      <w:r w:rsidR="00B0355F" w:rsidRPr="00B406D7">
        <w:rPr>
          <w:rFonts w:ascii="Verdana" w:eastAsia="Times New Roman" w:hAnsi="Verdana" w:cs="Arial"/>
          <w:lang w:val="es-ES_tradnl" w:eastAsia="es-ES"/>
        </w:rPr>
        <w:t xml:space="preserve">los documentos tipo para contratar la </w:t>
      </w:r>
      <w:r w:rsidR="006A2CC7" w:rsidRPr="00B406D7">
        <w:rPr>
          <w:rFonts w:ascii="Verdana" w:eastAsia="Times New Roman" w:hAnsi="Verdana" w:cs="Arial"/>
          <w:lang w:val="es-ES_tradnl" w:eastAsia="es-ES"/>
        </w:rPr>
        <w:t>consultoría de estudios de ingeniería de infraestructura de transporte bajo la modalidad de concurso de méritos</w:t>
      </w:r>
      <w:r w:rsidR="00003E93" w:rsidRPr="00B406D7">
        <w:rPr>
          <w:rFonts w:ascii="Verdana" w:eastAsia="Times New Roman" w:hAnsi="Verdana" w:cs="Arial"/>
          <w:lang w:val="es-ES_tradnl" w:eastAsia="es-ES"/>
        </w:rPr>
        <w:t xml:space="preserve">, mediante la Resolución </w:t>
      </w:r>
      <w:r w:rsidR="008F0627" w:rsidRPr="00B406D7">
        <w:rPr>
          <w:rFonts w:ascii="Verdana" w:eastAsia="Times New Roman" w:hAnsi="Verdana" w:cs="Arial"/>
          <w:lang w:val="es-ES_tradnl" w:eastAsia="es-ES"/>
        </w:rPr>
        <w:t>193</w:t>
      </w:r>
      <w:r w:rsidR="00003E93" w:rsidRPr="00B406D7">
        <w:rPr>
          <w:rFonts w:ascii="Verdana" w:eastAsia="Times New Roman" w:hAnsi="Verdana" w:cs="Arial"/>
          <w:lang w:val="es-ES_tradnl" w:eastAsia="es-ES"/>
        </w:rPr>
        <w:t xml:space="preserve"> de 202</w:t>
      </w:r>
      <w:r w:rsidR="008F0627" w:rsidRPr="00B406D7">
        <w:rPr>
          <w:rFonts w:ascii="Verdana" w:eastAsia="Times New Roman" w:hAnsi="Verdana" w:cs="Arial"/>
          <w:lang w:val="es-ES_tradnl" w:eastAsia="es-ES"/>
        </w:rPr>
        <w:t>1</w:t>
      </w:r>
      <w:r w:rsidR="00003E93" w:rsidRPr="00B406D7">
        <w:rPr>
          <w:rFonts w:ascii="Verdana" w:eastAsia="Times New Roman" w:hAnsi="Verdana" w:cs="Arial"/>
          <w:lang w:val="es-ES_tradnl" w:eastAsia="es-ES"/>
        </w:rPr>
        <w:t xml:space="preserve">. </w:t>
      </w:r>
      <w:r w:rsidR="00A367AB" w:rsidRPr="00B406D7">
        <w:rPr>
          <w:rFonts w:ascii="Verdana" w:eastAsia="Times New Roman" w:hAnsi="Verdana" w:cs="Arial"/>
          <w:lang w:val="es-ES_tradnl" w:eastAsia="es-ES"/>
        </w:rPr>
        <w:t xml:space="preserve">Estos documentos fueron modificados con posterioridad a través de las Resoluciones </w:t>
      </w:r>
      <w:r w:rsidR="00B550E2" w:rsidRPr="00B406D7">
        <w:rPr>
          <w:rFonts w:ascii="Verdana" w:eastAsia="Times New Roman" w:hAnsi="Verdana" w:cs="Arial"/>
          <w:lang w:val="es-ES_tradnl" w:eastAsia="es-ES"/>
        </w:rPr>
        <w:t>304</w:t>
      </w:r>
      <w:r w:rsidR="007177EC" w:rsidRPr="00B406D7">
        <w:rPr>
          <w:rFonts w:ascii="Verdana" w:eastAsia="Times New Roman" w:hAnsi="Verdana" w:cs="Arial"/>
          <w:lang w:val="es-ES_tradnl" w:eastAsia="es-ES"/>
        </w:rPr>
        <w:t xml:space="preserve"> de 2021 y 275 de 2022.</w:t>
      </w:r>
    </w:p>
    <w:p w14:paraId="4B1DABB1" w14:textId="08532306" w:rsidR="00F91C3C" w:rsidRPr="00B406D7" w:rsidRDefault="00F91C3C" w:rsidP="000B7590">
      <w:pPr>
        <w:pStyle w:val="Normal11pt"/>
        <w:ind w:left="0" w:right="51"/>
        <w:rPr>
          <w:rFonts w:ascii="Verdana" w:hAnsi="Verdana"/>
          <w:color w:val="auto"/>
          <w:lang w:val="es-ES"/>
        </w:rPr>
      </w:pPr>
    </w:p>
    <w:p w14:paraId="0934FA00" w14:textId="0191FCB7" w:rsidR="00316AED" w:rsidRPr="00B406D7" w:rsidRDefault="002638FE" w:rsidP="00B24D6C">
      <w:pPr>
        <w:pStyle w:val="Normal11pt"/>
        <w:ind w:left="0" w:right="51"/>
        <w:rPr>
          <w:rFonts w:ascii="Verdana" w:hAnsi="Verdana"/>
          <w:color w:val="auto"/>
          <w:lang w:val="es-ES"/>
        </w:rPr>
      </w:pPr>
      <w:r w:rsidRPr="00B406D7">
        <w:rPr>
          <w:rFonts w:ascii="Verdana" w:hAnsi="Verdana"/>
          <w:color w:val="auto"/>
          <w:lang w:val="es-ES"/>
        </w:rPr>
        <w:t xml:space="preserve">Al respecto, la Resolución 160 de 2020, cuyo objeto consiste en adoptar el procedimiento para implementar los documentos tipo y definir el sistema de su revisión, en el artículo 11, faculta a la Agencia </w:t>
      </w:r>
      <w:r w:rsidR="00EB74CE" w:rsidRPr="00B406D7">
        <w:rPr>
          <w:rFonts w:ascii="Verdana" w:hAnsi="Verdana"/>
          <w:color w:val="auto"/>
          <w:lang w:val="es-ES"/>
        </w:rPr>
        <w:t>para que, en</w:t>
      </w:r>
      <w:r w:rsidRPr="00B406D7">
        <w:rPr>
          <w:rFonts w:ascii="Verdana" w:hAnsi="Verdana"/>
          <w:color w:val="auto"/>
          <w:lang w:val="es-ES"/>
        </w:rPr>
        <w:t xml:space="preserve"> cualquier momento, ante el cambio de circunstancias fácticas o jurídicas sobre las cuales se sustentaron la adopción de los documentos tipo o la identificación de imperfecciones en la elaboración o implementación de los mismos, </w:t>
      </w:r>
      <w:r w:rsidR="004B49D1" w:rsidRPr="00B406D7">
        <w:rPr>
          <w:rFonts w:ascii="Verdana" w:hAnsi="Verdana"/>
          <w:color w:val="auto"/>
          <w:lang w:val="es-ES"/>
        </w:rPr>
        <w:t xml:space="preserve">le permita proceder </w:t>
      </w:r>
      <w:r w:rsidRPr="00B406D7">
        <w:rPr>
          <w:rFonts w:ascii="Verdana" w:hAnsi="Verdana"/>
          <w:color w:val="auto"/>
          <w:lang w:val="es-ES"/>
        </w:rPr>
        <w:t xml:space="preserve">a realizar su revisión y adoptar las modificaciones a que haya lugar mediante acto administrativo motivado. </w:t>
      </w:r>
    </w:p>
    <w:p w14:paraId="5106FD99" w14:textId="77777777" w:rsidR="00316AED" w:rsidRPr="00B406D7" w:rsidRDefault="00316AED" w:rsidP="00B24D6C">
      <w:pPr>
        <w:pStyle w:val="Normal11pt"/>
        <w:ind w:left="0" w:right="51"/>
        <w:rPr>
          <w:rFonts w:ascii="Verdana" w:hAnsi="Verdana"/>
          <w:color w:val="auto"/>
          <w:lang w:val="es-ES"/>
        </w:rPr>
      </w:pPr>
    </w:p>
    <w:p w14:paraId="77BC9F61" w14:textId="6A060A7E" w:rsidR="00B24D6C" w:rsidRPr="00B406D7" w:rsidRDefault="002638FE" w:rsidP="00B24D6C">
      <w:pPr>
        <w:pStyle w:val="Normal11pt"/>
        <w:ind w:left="0" w:right="51"/>
        <w:rPr>
          <w:rFonts w:ascii="Verdana" w:hAnsi="Verdana"/>
          <w:color w:val="auto"/>
          <w:lang w:val="es-CO"/>
        </w:rPr>
      </w:pPr>
      <w:r w:rsidRPr="00B406D7">
        <w:rPr>
          <w:rFonts w:ascii="Verdana" w:hAnsi="Verdana"/>
          <w:color w:val="auto"/>
          <w:lang w:val="es-ES"/>
        </w:rPr>
        <w:lastRenderedPageBreak/>
        <w:t>En los próximos acápites se explicará la necesidad de actualizar los documentos tipo</w:t>
      </w:r>
      <w:r w:rsidR="008148C9" w:rsidRPr="00B406D7">
        <w:rPr>
          <w:rFonts w:ascii="Verdana" w:hAnsi="Verdana"/>
          <w:color w:val="auto"/>
          <w:lang w:val="es-ES"/>
        </w:rPr>
        <w:t xml:space="preserve"> para procesos de selección de concurso de méritos para contratar la </w:t>
      </w:r>
      <w:r w:rsidR="007177EC" w:rsidRPr="00B406D7">
        <w:rPr>
          <w:rFonts w:ascii="Verdana" w:hAnsi="Verdana"/>
          <w:color w:val="auto"/>
          <w:lang w:val="es-ES"/>
        </w:rPr>
        <w:t>consultoría de estudios de ingeniería de infraestructura de transporte</w:t>
      </w:r>
      <w:r w:rsidR="008148C9" w:rsidRPr="00B406D7">
        <w:rPr>
          <w:rFonts w:ascii="Verdana" w:hAnsi="Verdana"/>
          <w:color w:val="auto"/>
          <w:lang w:val="es-ES"/>
        </w:rPr>
        <w:t xml:space="preserve"> </w:t>
      </w:r>
      <w:r w:rsidR="00EF2629" w:rsidRPr="00B406D7">
        <w:rPr>
          <w:rFonts w:ascii="Verdana" w:hAnsi="Verdana"/>
          <w:color w:val="auto"/>
          <w:lang w:val="es-ES"/>
        </w:rPr>
        <w:t xml:space="preserve">–versión </w:t>
      </w:r>
      <w:r w:rsidR="007177EC" w:rsidRPr="00B406D7">
        <w:rPr>
          <w:rFonts w:ascii="Verdana" w:hAnsi="Verdana"/>
          <w:color w:val="auto"/>
          <w:lang w:val="es-ES"/>
        </w:rPr>
        <w:t>2</w:t>
      </w:r>
      <w:r w:rsidR="00EB2BEB" w:rsidRPr="00B406D7">
        <w:rPr>
          <w:rFonts w:ascii="Verdana" w:hAnsi="Verdana"/>
          <w:color w:val="auto"/>
          <w:lang w:val="es-ES"/>
        </w:rPr>
        <w:t>–.</w:t>
      </w:r>
      <w:r w:rsidR="00EF2629" w:rsidRPr="00B406D7">
        <w:rPr>
          <w:rFonts w:ascii="Verdana" w:hAnsi="Verdana"/>
          <w:color w:val="auto"/>
          <w:lang w:val="es-ES"/>
        </w:rPr>
        <w:t xml:space="preserve"> </w:t>
      </w:r>
    </w:p>
    <w:p w14:paraId="717FEAE5" w14:textId="77777777" w:rsidR="00B24D6C" w:rsidRPr="00B406D7" w:rsidRDefault="00B24D6C" w:rsidP="00B24D6C">
      <w:pPr>
        <w:pStyle w:val="Normal11pt"/>
        <w:ind w:left="0" w:right="51"/>
        <w:rPr>
          <w:rFonts w:ascii="Verdana" w:hAnsi="Verdana"/>
          <w:color w:val="auto"/>
          <w:lang w:val="es-CO"/>
        </w:rPr>
      </w:pPr>
    </w:p>
    <w:p w14:paraId="184C11D7" w14:textId="5CC210EA" w:rsidR="00B24D6C" w:rsidRPr="00B406D7" w:rsidRDefault="00B406D7" w:rsidP="00B24D6C">
      <w:pPr>
        <w:numPr>
          <w:ilvl w:val="0"/>
          <w:numId w:val="1"/>
        </w:numPr>
        <w:spacing w:after="0" w:line="240" w:lineRule="auto"/>
        <w:ind w:left="0" w:right="51" w:firstLine="0"/>
        <w:jc w:val="both"/>
        <w:rPr>
          <w:rFonts w:ascii="Verdana" w:eastAsia="Times New Roman" w:hAnsi="Verdana" w:cs="Arial"/>
          <w:b/>
          <w:bCs/>
          <w:color w:val="000000"/>
          <w:sz w:val="24"/>
          <w:szCs w:val="24"/>
          <w:lang w:val="es-CO" w:eastAsia="es-ES"/>
        </w:rPr>
      </w:pPr>
      <w:r w:rsidRPr="00B406D7">
        <w:rPr>
          <w:rFonts w:ascii="Verdana" w:eastAsia="Times New Roman" w:hAnsi="Verdana" w:cs="Arial"/>
          <w:b/>
          <w:bCs/>
          <w:color w:val="000000"/>
          <w:sz w:val="24"/>
          <w:szCs w:val="24"/>
          <w:lang w:val="es-CO" w:eastAsia="es-ES"/>
        </w:rPr>
        <w:t>RAZONES DE OPORTUNIDAD Y CONVENIENCIA QUE JUSTIFICAN SU EXPEDICIÓN</w:t>
      </w:r>
    </w:p>
    <w:p w14:paraId="5B359EC4" w14:textId="3318A842" w:rsidR="00B24D6C" w:rsidRPr="00B406D7" w:rsidRDefault="00B24D6C" w:rsidP="00B24D6C">
      <w:pPr>
        <w:spacing w:after="0" w:line="240" w:lineRule="auto"/>
        <w:ind w:right="51"/>
        <w:jc w:val="both"/>
        <w:rPr>
          <w:rFonts w:ascii="Verdana" w:eastAsia="Times New Roman" w:hAnsi="Verdana" w:cs="Arial"/>
          <w:b/>
          <w:bCs/>
          <w:color w:val="000000"/>
          <w:lang w:val="es-CO" w:eastAsia="es-ES"/>
        </w:rPr>
      </w:pPr>
    </w:p>
    <w:p w14:paraId="68C6AAD5" w14:textId="56C9B16B" w:rsidR="0046792E" w:rsidRPr="00B406D7" w:rsidRDefault="00332C2F" w:rsidP="009E3EE2">
      <w:pPr>
        <w:spacing w:after="0" w:line="240" w:lineRule="auto"/>
        <w:ind w:right="51"/>
        <w:jc w:val="both"/>
        <w:rPr>
          <w:rFonts w:ascii="Verdana" w:eastAsia="Times New Roman" w:hAnsi="Verdana" w:cs="Arial"/>
          <w:color w:val="000000" w:themeColor="text1"/>
          <w:lang w:eastAsia="es-ES"/>
        </w:rPr>
      </w:pPr>
      <w:r w:rsidRPr="00B406D7">
        <w:rPr>
          <w:rFonts w:ascii="Verdana" w:eastAsia="Times New Roman" w:hAnsi="Verdana" w:cs="Arial"/>
          <w:color w:val="000000" w:themeColor="text1"/>
          <w:lang w:val="es-CO" w:eastAsia="es-ES"/>
        </w:rPr>
        <w:t>La Agencia Nacional de Contratación Pública – Colombia</w:t>
      </w:r>
      <w:r w:rsidR="006757BD" w:rsidRPr="00B406D7">
        <w:rPr>
          <w:rFonts w:ascii="Verdana" w:eastAsia="Times New Roman" w:hAnsi="Verdana" w:cs="Arial"/>
          <w:color w:val="000000" w:themeColor="text1"/>
          <w:lang w:val="es-CO" w:eastAsia="es-ES"/>
        </w:rPr>
        <w:t xml:space="preserve"> Compra Eficiente</w:t>
      </w:r>
      <w:r w:rsidRPr="00B406D7">
        <w:rPr>
          <w:rFonts w:ascii="Verdana" w:eastAsia="Times New Roman" w:hAnsi="Verdana" w:cs="Arial"/>
          <w:color w:val="000000" w:themeColor="text1"/>
          <w:lang w:val="es-CO" w:eastAsia="es-ES"/>
        </w:rPr>
        <w:t xml:space="preserve"> </w:t>
      </w:r>
      <w:r w:rsidR="00A55A08" w:rsidRPr="00B406D7">
        <w:rPr>
          <w:rFonts w:ascii="Verdana" w:eastAsia="Times New Roman" w:hAnsi="Verdana" w:cs="Arial"/>
          <w:color w:val="000000" w:themeColor="text1"/>
          <w:lang w:val="es-CO" w:eastAsia="es-ES"/>
        </w:rPr>
        <w:t>expone</w:t>
      </w:r>
      <w:r w:rsidR="00FA43BA" w:rsidRPr="00B406D7">
        <w:rPr>
          <w:rFonts w:ascii="Verdana" w:eastAsia="Times New Roman" w:hAnsi="Verdana" w:cs="Arial"/>
          <w:color w:val="000000" w:themeColor="text1"/>
          <w:lang w:val="es-CO" w:eastAsia="es-ES"/>
        </w:rPr>
        <w:t xml:space="preserve"> las</w:t>
      </w:r>
      <w:r w:rsidR="00EB036E" w:rsidRPr="00B406D7">
        <w:rPr>
          <w:rFonts w:ascii="Verdana" w:eastAsia="Times New Roman" w:hAnsi="Verdana" w:cs="Arial"/>
          <w:color w:val="000000" w:themeColor="text1"/>
          <w:lang w:val="es-CO" w:eastAsia="es-ES"/>
        </w:rPr>
        <w:t xml:space="preserve"> razones que </w:t>
      </w:r>
      <w:r w:rsidR="00421786" w:rsidRPr="00B406D7">
        <w:rPr>
          <w:rFonts w:ascii="Verdana" w:eastAsia="Times New Roman" w:hAnsi="Verdana" w:cs="Arial"/>
          <w:color w:val="000000" w:themeColor="text1"/>
          <w:lang w:val="es-CO" w:eastAsia="es-ES"/>
        </w:rPr>
        <w:t>justifican la</w:t>
      </w:r>
      <w:r w:rsidR="00795A6A" w:rsidRPr="00B406D7">
        <w:rPr>
          <w:rFonts w:ascii="Verdana" w:eastAsia="Times New Roman" w:hAnsi="Verdana" w:cs="Arial"/>
          <w:color w:val="000000" w:themeColor="text1"/>
          <w:lang w:val="es-CO" w:eastAsia="es-ES"/>
        </w:rPr>
        <w:t xml:space="preserve"> actualización</w:t>
      </w:r>
      <w:r w:rsidR="00421786" w:rsidRPr="00B406D7">
        <w:rPr>
          <w:rFonts w:ascii="Verdana" w:eastAsia="Times New Roman" w:hAnsi="Verdana" w:cs="Arial"/>
          <w:color w:val="000000" w:themeColor="text1"/>
          <w:lang w:val="es-CO" w:eastAsia="es-ES"/>
        </w:rPr>
        <w:t xml:space="preserve"> de los documentos tipo de</w:t>
      </w:r>
      <w:r w:rsidR="00B04ED1" w:rsidRPr="00B406D7">
        <w:rPr>
          <w:rFonts w:ascii="Verdana" w:eastAsia="Times New Roman" w:hAnsi="Verdana" w:cs="Arial"/>
          <w:color w:val="000000" w:themeColor="text1"/>
          <w:lang w:val="es-CO" w:eastAsia="es-ES"/>
        </w:rPr>
        <w:t xml:space="preserve"> concurso de méritos para contratar</w:t>
      </w:r>
      <w:r w:rsidR="000D3CF4" w:rsidRPr="00B406D7">
        <w:rPr>
          <w:rFonts w:ascii="Verdana" w:eastAsia="Times New Roman" w:hAnsi="Verdana" w:cs="Arial"/>
          <w:color w:val="000000" w:themeColor="text1"/>
          <w:lang w:val="es-CO" w:eastAsia="es-ES"/>
        </w:rPr>
        <w:t xml:space="preserve"> la consultoría de estudios de ingeniería de infraestructura de transporte </w:t>
      </w:r>
      <w:r w:rsidR="00421786" w:rsidRPr="00B406D7">
        <w:rPr>
          <w:rFonts w:ascii="Verdana" w:eastAsia="Times New Roman" w:hAnsi="Verdana" w:cs="Arial"/>
          <w:color w:val="000000" w:themeColor="text1"/>
          <w:lang w:val="es-CO" w:eastAsia="es-ES"/>
        </w:rPr>
        <w:t xml:space="preserve">–versión </w:t>
      </w:r>
      <w:r w:rsidR="000D3CF4" w:rsidRPr="00B406D7">
        <w:rPr>
          <w:rFonts w:ascii="Verdana" w:eastAsia="Times New Roman" w:hAnsi="Verdana" w:cs="Arial"/>
          <w:color w:val="000000" w:themeColor="text1"/>
          <w:lang w:val="es-CO" w:eastAsia="es-ES"/>
        </w:rPr>
        <w:t>2</w:t>
      </w:r>
      <w:r w:rsidR="00EA1201" w:rsidRPr="00B406D7">
        <w:rPr>
          <w:rFonts w:ascii="Verdana" w:eastAsia="Times New Roman" w:hAnsi="Verdana" w:cs="Arial"/>
          <w:color w:val="000000" w:themeColor="text1"/>
          <w:lang w:val="es-CO" w:eastAsia="es-ES"/>
        </w:rPr>
        <w:t>–</w:t>
      </w:r>
      <w:r w:rsidR="007B0B46" w:rsidRPr="00B406D7">
        <w:rPr>
          <w:rFonts w:ascii="Verdana" w:eastAsia="Times New Roman" w:hAnsi="Verdana" w:cs="Arial"/>
          <w:color w:val="000000" w:themeColor="text1"/>
          <w:lang w:val="es-CO" w:eastAsia="es-ES"/>
        </w:rPr>
        <w:t xml:space="preserve">. </w:t>
      </w:r>
      <w:r w:rsidR="00603B3D" w:rsidRPr="00B406D7">
        <w:rPr>
          <w:rFonts w:ascii="Verdana" w:eastAsia="Times New Roman" w:hAnsi="Verdana" w:cs="Arial"/>
          <w:color w:val="000000" w:themeColor="text1"/>
          <w:lang w:val="es-CO" w:eastAsia="es-ES"/>
        </w:rPr>
        <w:t xml:space="preserve">De este modo, </w:t>
      </w:r>
      <w:r w:rsidR="006757BD" w:rsidRPr="00B406D7">
        <w:rPr>
          <w:rFonts w:ascii="Verdana" w:eastAsia="Times New Roman" w:hAnsi="Verdana" w:cs="Arial"/>
          <w:color w:val="000000" w:themeColor="text1"/>
          <w:lang w:val="es-CO" w:eastAsia="es-ES"/>
        </w:rPr>
        <w:t>se explicará</w:t>
      </w:r>
      <w:r w:rsidR="00EF3927" w:rsidRPr="00B406D7">
        <w:rPr>
          <w:rFonts w:ascii="Verdana" w:eastAsia="Times New Roman" w:hAnsi="Verdana" w:cs="Arial"/>
          <w:color w:val="000000" w:themeColor="text1"/>
          <w:lang w:val="es-CO" w:eastAsia="es-ES"/>
        </w:rPr>
        <w:t>: i)</w:t>
      </w:r>
      <w:r w:rsidR="00F77FF7" w:rsidRPr="00B406D7">
        <w:rPr>
          <w:rFonts w:ascii="Verdana" w:eastAsia="Times New Roman" w:hAnsi="Verdana" w:cs="Arial"/>
          <w:color w:val="000000" w:themeColor="text1"/>
          <w:lang w:val="es-CO" w:eastAsia="es-ES"/>
        </w:rPr>
        <w:t xml:space="preserve"> </w:t>
      </w:r>
      <w:r w:rsidR="00166B46" w:rsidRPr="00B406D7">
        <w:rPr>
          <w:rFonts w:ascii="Verdana" w:eastAsia="Times New Roman" w:hAnsi="Verdana" w:cs="Arial"/>
          <w:color w:val="000000" w:themeColor="text1"/>
          <w:lang w:val="es-CO" w:eastAsia="es-ES"/>
        </w:rPr>
        <w:t>la importancia</w:t>
      </w:r>
      <w:r w:rsidR="00F769F5" w:rsidRPr="00B406D7">
        <w:rPr>
          <w:rFonts w:ascii="Verdana" w:eastAsia="Times New Roman" w:hAnsi="Verdana" w:cs="Arial"/>
          <w:color w:val="000000" w:themeColor="text1"/>
          <w:lang w:val="es-CO" w:eastAsia="es-ES"/>
        </w:rPr>
        <w:t xml:space="preserve"> en las compras públicas</w:t>
      </w:r>
      <w:r w:rsidR="00166B46" w:rsidRPr="00B406D7">
        <w:rPr>
          <w:rFonts w:ascii="Verdana" w:eastAsia="Times New Roman" w:hAnsi="Verdana" w:cs="Arial"/>
          <w:color w:val="000000" w:themeColor="text1"/>
          <w:lang w:val="es-CO" w:eastAsia="es-ES"/>
        </w:rPr>
        <w:t xml:space="preserve"> de</w:t>
      </w:r>
      <w:r w:rsidR="00246D2A" w:rsidRPr="00B406D7">
        <w:rPr>
          <w:rFonts w:ascii="Verdana" w:eastAsia="Times New Roman" w:hAnsi="Verdana" w:cs="Arial"/>
          <w:color w:val="000000" w:themeColor="text1"/>
          <w:lang w:val="es-CO" w:eastAsia="es-ES"/>
        </w:rPr>
        <w:t xml:space="preserve"> la Ley 2294 de 2023 </w:t>
      </w:r>
      <w:r w:rsidR="003B05C3" w:rsidRPr="00B406D7">
        <w:rPr>
          <w:rFonts w:ascii="Verdana" w:eastAsia="Times New Roman" w:hAnsi="Verdana" w:cs="Arial"/>
          <w:color w:val="000000" w:themeColor="text1"/>
          <w:lang w:val="es-CO" w:eastAsia="es-ES"/>
        </w:rPr>
        <w:t xml:space="preserve">por la cual se expide el </w:t>
      </w:r>
      <w:r w:rsidR="00246D2A" w:rsidRPr="00B406D7">
        <w:rPr>
          <w:rFonts w:ascii="Verdana" w:eastAsia="Times New Roman" w:hAnsi="Verdana" w:cs="Arial"/>
          <w:color w:val="000000" w:themeColor="text1"/>
          <w:lang w:val="es-CO" w:eastAsia="es-ES"/>
        </w:rPr>
        <w:t xml:space="preserve">Plan </w:t>
      </w:r>
      <w:r w:rsidR="00BA6BFA" w:rsidRPr="00B406D7">
        <w:rPr>
          <w:rFonts w:ascii="Verdana" w:eastAsia="Times New Roman" w:hAnsi="Verdana" w:cs="Arial"/>
          <w:color w:val="000000" w:themeColor="text1"/>
          <w:lang w:val="es-CO" w:eastAsia="es-ES"/>
        </w:rPr>
        <w:t>N</w:t>
      </w:r>
      <w:r w:rsidR="00246D2A" w:rsidRPr="00B406D7">
        <w:rPr>
          <w:rFonts w:ascii="Verdana" w:eastAsia="Times New Roman" w:hAnsi="Verdana" w:cs="Arial"/>
          <w:color w:val="000000" w:themeColor="text1"/>
          <w:lang w:val="es-CO" w:eastAsia="es-ES"/>
        </w:rPr>
        <w:t>acional de Desarrollo 2022-2026 “Colombia Potencia Mundial de la Vida”</w:t>
      </w:r>
      <w:r w:rsidR="00BA6BFA" w:rsidRPr="00B406D7">
        <w:rPr>
          <w:rFonts w:ascii="Verdana" w:eastAsia="Times New Roman" w:hAnsi="Verdana" w:cs="Arial"/>
          <w:color w:val="000000" w:themeColor="text1"/>
          <w:lang w:val="es-CO" w:eastAsia="es-ES"/>
        </w:rPr>
        <w:t>;</w:t>
      </w:r>
      <w:r w:rsidR="00177533" w:rsidRPr="00B406D7">
        <w:rPr>
          <w:rFonts w:ascii="Verdana" w:eastAsia="Times New Roman" w:hAnsi="Verdana" w:cs="Arial"/>
          <w:color w:val="000000" w:themeColor="text1"/>
          <w:lang w:val="es-CO" w:eastAsia="es-ES"/>
        </w:rPr>
        <w:t xml:space="preserve"> </w:t>
      </w:r>
      <w:proofErr w:type="spellStart"/>
      <w:r w:rsidR="00177533" w:rsidRPr="00B406D7">
        <w:rPr>
          <w:rFonts w:ascii="Verdana" w:eastAsia="Times New Roman" w:hAnsi="Verdana" w:cs="Arial"/>
          <w:color w:val="000000" w:themeColor="text1"/>
          <w:lang w:val="es-CO" w:eastAsia="es-ES"/>
        </w:rPr>
        <w:t>ii</w:t>
      </w:r>
      <w:proofErr w:type="spellEnd"/>
      <w:r w:rsidR="00D53D29" w:rsidRPr="00B406D7">
        <w:rPr>
          <w:rFonts w:ascii="Verdana" w:hAnsi="Verdana" w:cs="Arial"/>
        </w:rPr>
        <w:t xml:space="preserve">) el </w:t>
      </w:r>
      <w:r w:rsidR="00D53D29" w:rsidRPr="00B406D7">
        <w:rPr>
          <w:rFonts w:ascii="Verdana" w:eastAsia="Times New Roman" w:hAnsi="Verdana" w:cs="Arial"/>
          <w:color w:val="000000" w:themeColor="text1"/>
          <w:lang w:val="es-CO" w:eastAsia="es-ES"/>
        </w:rPr>
        <w:t>Plan Maestro de Transporte Intermodal (PMTI) 2021-2051</w:t>
      </w:r>
      <w:r w:rsidR="001B4696" w:rsidRPr="00B406D7">
        <w:rPr>
          <w:rFonts w:ascii="Verdana" w:eastAsia="Times New Roman" w:hAnsi="Verdana" w:cs="Arial"/>
          <w:color w:val="000000" w:themeColor="text1"/>
          <w:lang w:val="es-CO" w:eastAsia="es-ES"/>
        </w:rPr>
        <w:t>;</w:t>
      </w:r>
      <w:r w:rsidR="0074339D" w:rsidRPr="00B406D7">
        <w:rPr>
          <w:rFonts w:ascii="Verdana" w:eastAsia="Times New Roman" w:hAnsi="Verdana" w:cs="Arial"/>
          <w:color w:val="000000" w:themeColor="text1"/>
          <w:lang w:val="es-CO" w:eastAsia="es-ES"/>
        </w:rPr>
        <w:t xml:space="preserve"> </w:t>
      </w:r>
      <w:proofErr w:type="spellStart"/>
      <w:r w:rsidR="0074339D" w:rsidRPr="00B406D7">
        <w:rPr>
          <w:rFonts w:ascii="Verdana" w:eastAsia="Times New Roman" w:hAnsi="Verdana" w:cs="Arial"/>
          <w:color w:val="000000" w:themeColor="text1"/>
          <w:lang w:val="es-CO" w:eastAsia="es-ES"/>
        </w:rPr>
        <w:t>iii</w:t>
      </w:r>
      <w:proofErr w:type="spellEnd"/>
      <w:r w:rsidR="0074339D" w:rsidRPr="00B406D7">
        <w:rPr>
          <w:rFonts w:ascii="Verdana" w:eastAsia="Times New Roman" w:hAnsi="Verdana" w:cs="Arial"/>
          <w:color w:val="000000" w:themeColor="text1"/>
          <w:lang w:val="es-CO" w:eastAsia="es-ES"/>
        </w:rPr>
        <w:t>)</w:t>
      </w:r>
      <w:r w:rsidR="00BA517F" w:rsidRPr="00B406D7">
        <w:rPr>
          <w:rFonts w:ascii="Verdana" w:eastAsia="Times New Roman" w:hAnsi="Verdana" w:cs="Arial"/>
          <w:color w:val="000000" w:themeColor="text1"/>
          <w:lang w:val="es-CO" w:eastAsia="es-ES"/>
        </w:rPr>
        <w:t xml:space="preserve"> </w:t>
      </w:r>
      <w:r w:rsidR="009E55CA" w:rsidRPr="00B406D7">
        <w:rPr>
          <w:rFonts w:ascii="Verdana" w:eastAsia="Times New Roman" w:hAnsi="Verdana" w:cs="Arial"/>
          <w:color w:val="000000" w:themeColor="text1"/>
          <w:lang w:val="es-CO" w:eastAsia="es-ES"/>
        </w:rPr>
        <w:t xml:space="preserve">los lineamientos </w:t>
      </w:r>
      <w:r w:rsidR="009E0D3A" w:rsidRPr="00B406D7">
        <w:rPr>
          <w:rFonts w:ascii="Verdana" w:eastAsia="Times New Roman" w:hAnsi="Verdana" w:cs="Arial"/>
          <w:color w:val="000000" w:themeColor="text1"/>
          <w:lang w:val="es-CO" w:eastAsia="es-ES"/>
        </w:rPr>
        <w:t>establecidos en e</w:t>
      </w:r>
      <w:r w:rsidR="00BB3654" w:rsidRPr="00B406D7">
        <w:rPr>
          <w:rFonts w:ascii="Verdana" w:eastAsia="Times New Roman" w:hAnsi="Verdana" w:cs="Arial"/>
          <w:color w:val="000000" w:themeColor="text1"/>
          <w:lang w:val="es-CO" w:eastAsia="es-ES"/>
        </w:rPr>
        <w:t xml:space="preserve">l </w:t>
      </w:r>
      <w:r w:rsidR="00BA517F" w:rsidRPr="00B406D7">
        <w:rPr>
          <w:rFonts w:ascii="Verdana" w:eastAsia="Times New Roman" w:hAnsi="Verdana" w:cs="Arial"/>
          <w:color w:val="000000" w:themeColor="text1"/>
          <w:lang w:val="es-CO" w:eastAsia="es-ES"/>
        </w:rPr>
        <w:t>Decreto 142 de 2023</w:t>
      </w:r>
      <w:r w:rsidR="00535E2A" w:rsidRPr="00B406D7">
        <w:rPr>
          <w:rFonts w:ascii="Verdana" w:eastAsia="Times New Roman" w:hAnsi="Verdana" w:cs="Arial"/>
          <w:color w:val="000000" w:themeColor="text1"/>
          <w:lang w:eastAsia="es-ES"/>
        </w:rPr>
        <w:t xml:space="preserve">; </w:t>
      </w:r>
      <w:proofErr w:type="spellStart"/>
      <w:r w:rsidR="00D63CD9" w:rsidRPr="00B406D7">
        <w:rPr>
          <w:rFonts w:ascii="Verdana" w:eastAsia="Times New Roman" w:hAnsi="Verdana" w:cs="Arial"/>
          <w:color w:val="000000" w:themeColor="text1"/>
          <w:lang w:eastAsia="es-ES"/>
        </w:rPr>
        <w:t>i</w:t>
      </w:r>
      <w:r w:rsidR="00535E2A" w:rsidRPr="00B406D7">
        <w:rPr>
          <w:rFonts w:ascii="Verdana" w:eastAsia="Times New Roman" w:hAnsi="Verdana" w:cs="Arial"/>
          <w:color w:val="000000" w:themeColor="text1"/>
          <w:lang w:eastAsia="es-ES"/>
        </w:rPr>
        <w:t>v</w:t>
      </w:r>
      <w:proofErr w:type="spellEnd"/>
      <w:r w:rsidR="00535E2A" w:rsidRPr="00B406D7">
        <w:rPr>
          <w:rFonts w:ascii="Verdana" w:eastAsia="Times New Roman" w:hAnsi="Verdana" w:cs="Arial"/>
          <w:color w:val="000000" w:themeColor="text1"/>
          <w:lang w:eastAsia="es-ES"/>
        </w:rPr>
        <w:t>)</w:t>
      </w:r>
      <w:r w:rsidR="00C26B5E" w:rsidRPr="00B406D7">
        <w:rPr>
          <w:rFonts w:ascii="Verdana" w:eastAsia="Times New Roman" w:hAnsi="Verdana" w:cs="Arial"/>
          <w:color w:val="000000" w:themeColor="text1"/>
          <w:lang w:eastAsia="es-ES"/>
        </w:rPr>
        <w:t xml:space="preserve"> el deber de revisión constante de los Documentos Tipo y la necesidad de actualizar la Matriz de Experiencia y de incorporar nuevos criterios de evaluación y formatos; v)</w:t>
      </w:r>
      <w:r w:rsidR="00C26B5E" w:rsidRPr="00B406D7">
        <w:rPr>
          <w:rFonts w:ascii="Verdana" w:hAnsi="Verdana" w:cs="Arial"/>
        </w:rPr>
        <w:t xml:space="preserve"> el a</w:t>
      </w:r>
      <w:r w:rsidR="00C26B5E" w:rsidRPr="00B406D7">
        <w:rPr>
          <w:rFonts w:ascii="Verdana" w:eastAsia="Times New Roman" w:hAnsi="Verdana" w:cs="Arial"/>
          <w:color w:val="000000" w:themeColor="text1"/>
          <w:lang w:eastAsia="es-ES"/>
        </w:rPr>
        <w:t>nálisis de los datos relevantes suministrados por la Subdirección de Estudios de Mercado y Abastecimiento Estratégico de esta Agencia</w:t>
      </w:r>
      <w:r w:rsidR="00D01689" w:rsidRPr="00B406D7">
        <w:rPr>
          <w:rFonts w:ascii="Verdana" w:eastAsia="Times New Roman" w:hAnsi="Verdana" w:cs="Arial"/>
          <w:color w:val="000000" w:themeColor="text1"/>
          <w:lang w:eastAsia="es-ES"/>
        </w:rPr>
        <w:t>, y vi) las observaciones de ciudadanos, grupos de interés y entidades técnicas y especializadas del sector de infraestructura de transporte.</w:t>
      </w:r>
    </w:p>
    <w:p w14:paraId="0EF64902" w14:textId="6DEB0123" w:rsidR="00EB036E" w:rsidRPr="00B406D7" w:rsidRDefault="00EB036E" w:rsidP="00D01689">
      <w:pPr>
        <w:spacing w:after="0" w:line="240" w:lineRule="auto"/>
        <w:ind w:right="51"/>
        <w:jc w:val="both"/>
        <w:rPr>
          <w:rFonts w:ascii="Verdana" w:eastAsia="Times New Roman" w:hAnsi="Verdana" w:cs="Arial"/>
          <w:color w:val="000000"/>
          <w:lang w:val="es-CO" w:eastAsia="es-ES"/>
        </w:rPr>
      </w:pPr>
    </w:p>
    <w:p w14:paraId="05ED42FD" w14:textId="66DAB2D5" w:rsidR="009E3EE2" w:rsidRPr="00B406D7" w:rsidRDefault="008A55F0" w:rsidP="008A55F0">
      <w:pPr>
        <w:spacing w:after="0" w:line="240" w:lineRule="auto"/>
        <w:ind w:right="51"/>
        <w:jc w:val="both"/>
        <w:rPr>
          <w:rFonts w:ascii="Verdana" w:eastAsia="Times New Roman" w:hAnsi="Verdana" w:cs="Arial"/>
          <w:b/>
          <w:bCs/>
          <w:color w:val="000000"/>
          <w:lang w:val="es-CO" w:eastAsia="es-ES"/>
        </w:rPr>
      </w:pPr>
      <w:r w:rsidRPr="00B406D7">
        <w:rPr>
          <w:rFonts w:ascii="Verdana" w:eastAsia="Times New Roman" w:hAnsi="Verdana" w:cs="Arial"/>
          <w:b/>
          <w:bCs/>
          <w:color w:val="000000"/>
          <w:lang w:val="es-CO" w:eastAsia="es-ES"/>
        </w:rPr>
        <w:t xml:space="preserve">2.1. </w:t>
      </w:r>
      <w:r w:rsidR="002075AA" w:rsidRPr="00B406D7">
        <w:rPr>
          <w:rFonts w:ascii="Verdana" w:eastAsia="Times New Roman" w:hAnsi="Verdana" w:cs="Arial"/>
          <w:b/>
          <w:bCs/>
          <w:color w:val="000000"/>
          <w:lang w:eastAsia="es-ES"/>
        </w:rPr>
        <w:t xml:space="preserve">Plan Nacional de Desarrollo 2022-2026 “Colombia Potencia Mundial de la Vida” </w:t>
      </w:r>
      <w:r w:rsidR="005B2BE0" w:rsidRPr="00B406D7">
        <w:rPr>
          <w:rFonts w:ascii="Verdana" w:eastAsia="Times New Roman" w:hAnsi="Verdana" w:cs="Arial"/>
          <w:b/>
          <w:bCs/>
          <w:color w:val="000000"/>
          <w:lang w:eastAsia="es-ES"/>
        </w:rPr>
        <w:t>–Ley 2294 de 2023–</w:t>
      </w:r>
    </w:p>
    <w:p w14:paraId="3E8C581D" w14:textId="77777777" w:rsidR="001B048E" w:rsidRPr="00B406D7" w:rsidRDefault="001B048E" w:rsidP="00B24D6C">
      <w:pPr>
        <w:spacing w:after="0" w:line="240" w:lineRule="auto"/>
        <w:ind w:right="51"/>
        <w:jc w:val="both"/>
        <w:rPr>
          <w:rFonts w:ascii="Verdana" w:eastAsia="Times New Roman" w:hAnsi="Verdana" w:cs="Arial"/>
          <w:color w:val="000000"/>
          <w:lang w:val="es-CO" w:eastAsia="es-ES"/>
        </w:rPr>
      </w:pPr>
    </w:p>
    <w:p w14:paraId="4B286F75" w14:textId="1B3FC1F2" w:rsidR="005F0A6F" w:rsidRPr="00B406D7" w:rsidRDefault="005F0A6F"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El Plan Nacional de Desarrollo 2022-2026 tiene por objetivo sentar las bases para que el país se convierta en un líder de protección </w:t>
      </w:r>
      <w:r w:rsidR="00F8402B" w:rsidRPr="00B406D7">
        <w:rPr>
          <w:rFonts w:ascii="Verdana" w:eastAsia="Times New Roman" w:hAnsi="Verdana" w:cs="Arial"/>
          <w:color w:val="000000"/>
          <w:lang w:val="es-CO" w:eastAsia="es-ES"/>
        </w:rPr>
        <w:t xml:space="preserve">de la vida a partir de un nuevo contrato social que propicie la superación </w:t>
      </w:r>
      <w:r w:rsidR="00BC7B60" w:rsidRPr="00B406D7">
        <w:rPr>
          <w:rFonts w:ascii="Verdana" w:eastAsia="Times New Roman" w:hAnsi="Verdana" w:cs="Arial"/>
          <w:color w:val="000000"/>
          <w:lang w:val="es-CO" w:eastAsia="es-ES"/>
        </w:rPr>
        <w:t>de injusticias y exclusiones hist</w:t>
      </w:r>
      <w:r w:rsidR="00822E51" w:rsidRPr="00B406D7">
        <w:rPr>
          <w:rFonts w:ascii="Verdana" w:eastAsia="Times New Roman" w:hAnsi="Verdana" w:cs="Arial"/>
          <w:color w:val="000000"/>
          <w:lang w:val="es-CO" w:eastAsia="es-ES"/>
        </w:rPr>
        <w:t xml:space="preserve">óricas, la no repetición del conflicto, el cambio de nuestro relacionamiento con el ambiente y una transformación productiva </w:t>
      </w:r>
      <w:r w:rsidR="0005265C" w:rsidRPr="00B406D7">
        <w:rPr>
          <w:rFonts w:ascii="Verdana" w:eastAsia="Times New Roman" w:hAnsi="Verdana" w:cs="Arial"/>
          <w:color w:val="000000"/>
          <w:lang w:val="es-CO" w:eastAsia="es-ES"/>
        </w:rPr>
        <w:t>sustentada en el conocimiento y en armonía con la naturaleza.</w:t>
      </w:r>
      <w:r w:rsidR="001A1190" w:rsidRPr="00B406D7">
        <w:rPr>
          <w:rStyle w:val="Refdenotaalpie"/>
          <w:rFonts w:ascii="Verdana" w:eastAsia="Times New Roman" w:hAnsi="Verdana" w:cs="Arial"/>
          <w:color w:val="000000"/>
          <w:lang w:val="es-CO" w:eastAsia="es-ES"/>
        </w:rPr>
        <w:footnoteReference w:id="2"/>
      </w:r>
      <w:r w:rsidR="00241B68" w:rsidRPr="00B406D7">
        <w:rPr>
          <w:rFonts w:ascii="Verdana" w:eastAsia="Times New Roman" w:hAnsi="Verdana" w:cs="Arial"/>
          <w:color w:val="000000"/>
          <w:lang w:val="es-CO" w:eastAsia="es-ES"/>
        </w:rPr>
        <w:t xml:space="preserve"> Los ejes transversales del </w:t>
      </w:r>
      <w:r w:rsidR="006D7174" w:rsidRPr="00B406D7">
        <w:rPr>
          <w:rFonts w:ascii="Verdana" w:eastAsia="Times New Roman" w:hAnsi="Verdana" w:cs="Arial"/>
          <w:color w:val="000000"/>
          <w:lang w:val="es-CO" w:eastAsia="es-ES"/>
        </w:rPr>
        <w:t xml:space="preserve">referido Plan Nacional de Desarrollo son: i) paz total; </w:t>
      </w:r>
      <w:proofErr w:type="spellStart"/>
      <w:r w:rsidR="006D7174" w:rsidRPr="00B406D7">
        <w:rPr>
          <w:rFonts w:ascii="Verdana" w:eastAsia="Times New Roman" w:hAnsi="Verdana" w:cs="Arial"/>
          <w:color w:val="000000"/>
          <w:lang w:val="es-CO" w:eastAsia="es-ES"/>
        </w:rPr>
        <w:t>ii</w:t>
      </w:r>
      <w:proofErr w:type="spellEnd"/>
      <w:r w:rsidR="006D7174" w:rsidRPr="00B406D7">
        <w:rPr>
          <w:rFonts w:ascii="Verdana" w:eastAsia="Times New Roman" w:hAnsi="Verdana" w:cs="Arial"/>
          <w:color w:val="000000"/>
          <w:lang w:val="es-CO" w:eastAsia="es-ES"/>
        </w:rPr>
        <w:t xml:space="preserve">) los actores diferenciales para el cambio; </w:t>
      </w:r>
      <w:proofErr w:type="spellStart"/>
      <w:r w:rsidR="006D7174" w:rsidRPr="00B406D7">
        <w:rPr>
          <w:rFonts w:ascii="Verdana" w:eastAsia="Times New Roman" w:hAnsi="Verdana" w:cs="Arial"/>
          <w:color w:val="000000"/>
          <w:lang w:val="es-CO" w:eastAsia="es-ES"/>
        </w:rPr>
        <w:t>iii</w:t>
      </w:r>
      <w:proofErr w:type="spellEnd"/>
      <w:r w:rsidR="006D7174" w:rsidRPr="00B406D7">
        <w:rPr>
          <w:rFonts w:ascii="Verdana" w:eastAsia="Times New Roman" w:hAnsi="Verdana" w:cs="Arial"/>
          <w:color w:val="000000"/>
          <w:lang w:val="es-CO" w:eastAsia="es-ES"/>
        </w:rPr>
        <w:t>) estabilidad macroeconómica,</w:t>
      </w:r>
      <w:r w:rsidR="00193265" w:rsidRPr="00B406D7">
        <w:rPr>
          <w:rFonts w:ascii="Verdana" w:eastAsia="Times New Roman" w:hAnsi="Verdana" w:cs="Arial"/>
          <w:color w:val="000000"/>
          <w:lang w:val="es-CO" w:eastAsia="es-ES"/>
        </w:rPr>
        <w:t xml:space="preserve"> y</w:t>
      </w:r>
      <w:r w:rsidR="006D7174" w:rsidRPr="00B406D7">
        <w:rPr>
          <w:rFonts w:ascii="Verdana" w:eastAsia="Times New Roman" w:hAnsi="Verdana" w:cs="Arial"/>
          <w:color w:val="000000"/>
          <w:lang w:val="es-CO" w:eastAsia="es-ES"/>
        </w:rPr>
        <w:t xml:space="preserve"> </w:t>
      </w:r>
      <w:proofErr w:type="spellStart"/>
      <w:r w:rsidR="006D7174" w:rsidRPr="00B406D7">
        <w:rPr>
          <w:rFonts w:ascii="Verdana" w:eastAsia="Times New Roman" w:hAnsi="Verdana" w:cs="Arial"/>
          <w:color w:val="000000"/>
          <w:lang w:val="es-CO" w:eastAsia="es-ES"/>
        </w:rPr>
        <w:t>iv</w:t>
      </w:r>
      <w:proofErr w:type="spellEnd"/>
      <w:r w:rsidR="006D7174" w:rsidRPr="00B406D7">
        <w:rPr>
          <w:rFonts w:ascii="Verdana" w:eastAsia="Times New Roman" w:hAnsi="Verdana" w:cs="Arial"/>
          <w:color w:val="000000"/>
          <w:lang w:val="es-CO" w:eastAsia="es-ES"/>
        </w:rPr>
        <w:t xml:space="preserve">) </w:t>
      </w:r>
      <w:r w:rsidR="008A55F0" w:rsidRPr="00B406D7">
        <w:rPr>
          <w:rFonts w:ascii="Verdana" w:eastAsia="Times New Roman" w:hAnsi="Verdana" w:cs="Arial"/>
          <w:color w:val="000000"/>
          <w:lang w:val="es-CO" w:eastAsia="es-ES"/>
        </w:rPr>
        <w:t>política</w:t>
      </w:r>
      <w:r w:rsidR="00B95DBC" w:rsidRPr="00B406D7">
        <w:rPr>
          <w:rFonts w:ascii="Verdana" w:eastAsia="Times New Roman" w:hAnsi="Verdana" w:cs="Arial"/>
          <w:color w:val="000000"/>
          <w:lang w:val="es-CO" w:eastAsia="es-ES"/>
        </w:rPr>
        <w:t xml:space="preserve"> exterior con enfoque de género.</w:t>
      </w:r>
      <w:r w:rsidR="00A03E80" w:rsidRPr="00B406D7">
        <w:rPr>
          <w:rStyle w:val="Refdenotaalpie"/>
          <w:rFonts w:ascii="Verdana" w:eastAsia="Times New Roman" w:hAnsi="Verdana" w:cs="Arial"/>
          <w:color w:val="000000"/>
          <w:lang w:val="es-CO" w:eastAsia="es-ES"/>
        </w:rPr>
        <w:footnoteReference w:id="3"/>
      </w:r>
      <w:r w:rsidR="00B95DBC" w:rsidRPr="00B406D7">
        <w:rPr>
          <w:rFonts w:ascii="Verdana" w:eastAsia="Times New Roman" w:hAnsi="Verdana" w:cs="Arial"/>
          <w:color w:val="000000"/>
          <w:lang w:val="es-CO" w:eastAsia="es-ES"/>
        </w:rPr>
        <w:t xml:space="preserve"> </w:t>
      </w:r>
      <w:r w:rsidR="00584E33" w:rsidRPr="00B406D7">
        <w:rPr>
          <w:rFonts w:ascii="Verdana" w:eastAsia="Times New Roman" w:hAnsi="Verdana" w:cs="Arial"/>
          <w:color w:val="000000"/>
          <w:lang w:val="es-CO" w:eastAsia="es-ES"/>
        </w:rPr>
        <w:t xml:space="preserve">Al respecto, debe señalarse que cobran especial relevancia los siguientes ejes transversales: </w:t>
      </w:r>
    </w:p>
    <w:p w14:paraId="5E95E33B" w14:textId="77777777" w:rsidR="00584E33" w:rsidRPr="00B406D7" w:rsidRDefault="00584E33" w:rsidP="00B24D6C">
      <w:pPr>
        <w:spacing w:after="0" w:line="240" w:lineRule="auto"/>
        <w:ind w:right="51"/>
        <w:jc w:val="both"/>
        <w:rPr>
          <w:rFonts w:ascii="Verdana" w:eastAsia="Times New Roman" w:hAnsi="Verdana" w:cs="Arial"/>
          <w:color w:val="000000"/>
          <w:lang w:val="es-CO" w:eastAsia="es-ES"/>
        </w:rPr>
      </w:pPr>
    </w:p>
    <w:p w14:paraId="5DB68F48" w14:textId="752B0F5A" w:rsidR="002C4FB6" w:rsidRPr="00B406D7" w:rsidRDefault="00CB5701" w:rsidP="00CB5701">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w:t>
      </w:r>
      <w:r w:rsidR="002C4FB6" w:rsidRPr="00B406D7">
        <w:rPr>
          <w:rFonts w:ascii="Verdana" w:eastAsia="Times New Roman" w:hAnsi="Verdana" w:cs="Arial"/>
          <w:b/>
          <w:bCs/>
          <w:color w:val="000000"/>
          <w:lang w:val="es-CO" w:eastAsia="es-ES"/>
        </w:rPr>
        <w:t>2. Los actores diferenciales para el cambio.</w:t>
      </w:r>
      <w:r w:rsidR="002C4FB6" w:rsidRPr="00B406D7">
        <w:rPr>
          <w:rFonts w:ascii="Verdana" w:eastAsia="Times New Roman" w:hAnsi="Verdana" w:cs="Arial"/>
          <w:color w:val="000000"/>
          <w:lang w:val="es-CO" w:eastAsia="es-ES"/>
        </w:rPr>
        <w:t xml:space="preserve"> El cambio que propone es con la población colombiana en todas sus diversidades para lograr transformaciones que nos lleven a una sociedad inclusiva, libre de estereotipos y estigmas, que supera las discriminaciones de tipo económico, social, religioso, cultural y político, así como las basadas en </w:t>
      </w:r>
      <w:r w:rsidR="002C4FB6" w:rsidRPr="00B406D7">
        <w:rPr>
          <w:rFonts w:ascii="Verdana" w:eastAsia="Times New Roman" w:hAnsi="Verdana" w:cs="Arial"/>
          <w:color w:val="000000"/>
          <w:lang w:val="es-CO" w:eastAsia="es-ES"/>
        </w:rPr>
        <w:lastRenderedPageBreak/>
        <w:t xml:space="preserve">género, étnico-racial, generacionales, capacidades físicas, de identidad y orientación sexual, donde la diversidad será fuente de desarrollo sostenible y no de exclusión. De igual forma busca superar las brechas ocasionadas por el conflicto armado y por las divisiones entre lo urbano y lo rural. Actores como las mujeres, la comunidad LGBTIQ+, las víctimas, las niñas y los niños, las comunidades étnicas, los jóvenes, las personas con discapacidad y la comunidad campesina son parte integral de las transformaciones propuestas por este Plan. </w:t>
      </w:r>
    </w:p>
    <w:p w14:paraId="3FA39CD7" w14:textId="77777777" w:rsidR="002C4FB6" w:rsidRPr="00B406D7" w:rsidRDefault="002C4FB6" w:rsidP="00CB5701">
      <w:pPr>
        <w:spacing w:after="0" w:line="240" w:lineRule="auto"/>
        <w:ind w:left="709" w:right="709"/>
        <w:jc w:val="both"/>
        <w:rPr>
          <w:rFonts w:ascii="Verdana" w:eastAsia="Times New Roman" w:hAnsi="Verdana" w:cs="Arial"/>
          <w:color w:val="000000"/>
          <w:lang w:val="es-CO" w:eastAsia="es-ES"/>
        </w:rPr>
      </w:pPr>
    </w:p>
    <w:p w14:paraId="3297D2A5" w14:textId="5F3206CB" w:rsidR="00584E33" w:rsidRPr="00B406D7" w:rsidRDefault="002C4FB6" w:rsidP="00CB5701">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b/>
          <w:bCs/>
          <w:color w:val="000000"/>
          <w:lang w:val="es-CO" w:eastAsia="es-ES"/>
        </w:rPr>
        <w:t>3. Estabilidad macroeconómica.</w:t>
      </w:r>
      <w:r w:rsidRPr="00B406D7">
        <w:rPr>
          <w:rFonts w:ascii="Verdana" w:eastAsia="Times New Roman" w:hAnsi="Verdana" w:cs="Arial"/>
          <w:color w:val="000000"/>
          <w:lang w:val="es-CO" w:eastAsia="es-ES"/>
        </w:rPr>
        <w:t xml:space="preserve"> Tiene como objetivo definir un conjunto de apuestas en materia económica para garantizar la disponibilidad de los recursos públicos que permitirán financiar las transformaciones, las cuales están enmarcadas en la actual coyuntura económica global, regional y nacional.</w:t>
      </w:r>
      <w:r w:rsidR="00CB5701" w:rsidRPr="00B406D7">
        <w:rPr>
          <w:rFonts w:ascii="Verdana" w:eastAsia="Times New Roman" w:hAnsi="Verdana" w:cs="Arial"/>
          <w:color w:val="000000"/>
          <w:lang w:val="es-CO" w:eastAsia="es-ES"/>
        </w:rPr>
        <w:t>”</w:t>
      </w:r>
    </w:p>
    <w:p w14:paraId="20CD48BF" w14:textId="77777777" w:rsidR="008F3B13" w:rsidRPr="00B406D7" w:rsidRDefault="008F3B13" w:rsidP="00B24D6C">
      <w:pPr>
        <w:spacing w:after="0" w:line="240" w:lineRule="auto"/>
        <w:ind w:right="51"/>
        <w:jc w:val="both"/>
        <w:rPr>
          <w:rFonts w:ascii="Verdana" w:eastAsia="Times New Roman" w:hAnsi="Verdana" w:cs="Arial"/>
          <w:color w:val="000000"/>
          <w:lang w:val="es-CO" w:eastAsia="es-ES"/>
        </w:rPr>
      </w:pPr>
    </w:p>
    <w:p w14:paraId="3D503B82" w14:textId="4C18CC5E" w:rsidR="008F3B13" w:rsidRPr="00B406D7" w:rsidRDefault="008F3B13"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Con este nuevo Plan Nacional de Desarrollo, se </w:t>
      </w:r>
      <w:r w:rsidR="00647D2E" w:rsidRPr="00B406D7">
        <w:rPr>
          <w:rFonts w:ascii="Verdana" w:eastAsia="Times New Roman" w:hAnsi="Verdana" w:cs="Arial"/>
          <w:color w:val="000000"/>
          <w:lang w:val="es-CO" w:eastAsia="es-ES"/>
        </w:rPr>
        <w:t>propende por que los empresarios, emprendedores y asociaciones populares cuenten con</w:t>
      </w:r>
      <w:r w:rsidR="005A444A" w:rsidRPr="00B406D7">
        <w:rPr>
          <w:rFonts w:ascii="Verdana" w:eastAsia="Times New Roman" w:hAnsi="Verdana" w:cs="Arial"/>
          <w:color w:val="000000"/>
          <w:lang w:val="es-CO" w:eastAsia="es-ES"/>
        </w:rPr>
        <w:t xml:space="preserve"> mayores oportunidades y mejores condiciones. </w:t>
      </w:r>
      <w:r w:rsidR="005244FE" w:rsidRPr="00B406D7">
        <w:rPr>
          <w:rFonts w:ascii="Verdana" w:eastAsia="Times New Roman" w:hAnsi="Verdana" w:cs="Arial"/>
          <w:color w:val="000000"/>
          <w:lang w:val="es-CO" w:eastAsia="es-ES"/>
        </w:rPr>
        <w:t xml:space="preserve">Se pretende </w:t>
      </w:r>
      <w:r w:rsidR="000D5D67" w:rsidRPr="00B406D7">
        <w:rPr>
          <w:rFonts w:ascii="Verdana" w:eastAsia="Times New Roman" w:hAnsi="Verdana" w:cs="Arial"/>
          <w:color w:val="000000"/>
          <w:lang w:val="es-CO" w:eastAsia="es-ES"/>
        </w:rPr>
        <w:t>una mayor inclusión de diversos sectores en la vida social, económica y productiva del país</w:t>
      </w:r>
      <w:r w:rsidR="009108F8" w:rsidRPr="00B406D7">
        <w:rPr>
          <w:rFonts w:ascii="Verdana" w:eastAsia="Times New Roman" w:hAnsi="Verdana" w:cs="Arial"/>
          <w:color w:val="000000"/>
          <w:lang w:val="es-CO" w:eastAsia="es-ES"/>
        </w:rPr>
        <w:t>, y</w:t>
      </w:r>
      <w:r w:rsidR="0042712F" w:rsidRPr="00B406D7">
        <w:rPr>
          <w:rFonts w:ascii="Verdana" w:eastAsia="Times New Roman" w:hAnsi="Verdana" w:cs="Arial"/>
          <w:color w:val="000000"/>
          <w:lang w:val="es-CO" w:eastAsia="es-ES"/>
        </w:rPr>
        <w:t xml:space="preserve"> también se </w:t>
      </w:r>
      <w:r w:rsidR="00DD4D05" w:rsidRPr="00B406D7">
        <w:rPr>
          <w:rFonts w:ascii="Verdana" w:eastAsia="Times New Roman" w:hAnsi="Verdana" w:cs="Arial"/>
          <w:color w:val="000000"/>
          <w:lang w:val="es-CO" w:eastAsia="es-ES"/>
        </w:rPr>
        <w:t xml:space="preserve">promueven las transformaciones, de cara a la economía global, regional y nacional. </w:t>
      </w:r>
      <w:r w:rsidR="000F1479" w:rsidRPr="00B406D7">
        <w:rPr>
          <w:rFonts w:ascii="Verdana" w:eastAsia="Times New Roman" w:hAnsi="Verdana" w:cs="Arial"/>
          <w:color w:val="000000"/>
          <w:lang w:val="es-CO" w:eastAsia="es-ES"/>
        </w:rPr>
        <w:t xml:space="preserve">A su turno, una de las </w:t>
      </w:r>
      <w:r w:rsidR="0091411E" w:rsidRPr="00B406D7">
        <w:rPr>
          <w:rFonts w:ascii="Verdana" w:eastAsia="Times New Roman" w:hAnsi="Verdana" w:cs="Arial"/>
          <w:color w:val="000000"/>
          <w:lang w:val="es-CO" w:eastAsia="es-ES"/>
        </w:rPr>
        <w:t xml:space="preserve">herramientas fundamentales para el cumplimiento de los objetivos trazados en el Plan es, sin duda, el sistema de compras y contratación pública. </w:t>
      </w:r>
    </w:p>
    <w:p w14:paraId="5B62763C" w14:textId="77777777" w:rsidR="00D05E51" w:rsidRPr="00B406D7" w:rsidRDefault="00D05E51" w:rsidP="00B24D6C">
      <w:pPr>
        <w:spacing w:after="0" w:line="240" w:lineRule="auto"/>
        <w:ind w:right="51"/>
        <w:jc w:val="both"/>
        <w:rPr>
          <w:rFonts w:ascii="Verdana" w:eastAsia="Times New Roman" w:hAnsi="Verdana" w:cs="Arial"/>
          <w:color w:val="000000"/>
          <w:lang w:val="es-CO" w:eastAsia="es-ES"/>
        </w:rPr>
      </w:pPr>
    </w:p>
    <w:p w14:paraId="04A27122" w14:textId="4E75994A" w:rsidR="00D05E51" w:rsidRPr="00B406D7" w:rsidRDefault="00D05E51"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Por otra parte</w:t>
      </w:r>
      <w:r w:rsidR="004344AD" w:rsidRPr="00B406D7">
        <w:rPr>
          <w:rFonts w:ascii="Verdana" w:eastAsia="Times New Roman" w:hAnsi="Verdana" w:cs="Arial"/>
          <w:color w:val="000000"/>
          <w:lang w:val="es-CO" w:eastAsia="es-ES"/>
        </w:rPr>
        <w:t>,</w:t>
      </w:r>
      <w:r w:rsidR="00B65180" w:rsidRPr="00B406D7">
        <w:rPr>
          <w:rFonts w:ascii="Verdana" w:eastAsia="Times New Roman" w:hAnsi="Verdana" w:cs="Arial"/>
          <w:color w:val="000000"/>
          <w:lang w:val="es-CO" w:eastAsia="es-ES"/>
        </w:rPr>
        <w:t xml:space="preserve"> c</w:t>
      </w:r>
      <w:r w:rsidR="003C5646" w:rsidRPr="00B406D7">
        <w:rPr>
          <w:rFonts w:ascii="Verdana" w:eastAsia="Times New Roman" w:hAnsi="Verdana" w:cs="Arial"/>
          <w:color w:val="000000"/>
          <w:lang w:val="es-CO" w:eastAsia="es-ES"/>
        </w:rPr>
        <w:t>onforme al artículo 3 del Plan Nacional de Desarrollo,</w:t>
      </w:r>
      <w:r w:rsidR="004344AD" w:rsidRPr="00B406D7">
        <w:rPr>
          <w:rFonts w:ascii="Verdana" w:eastAsia="Times New Roman" w:hAnsi="Verdana" w:cs="Arial"/>
          <w:color w:val="000000"/>
          <w:lang w:val="es-CO" w:eastAsia="es-ES"/>
        </w:rPr>
        <w:t xml:space="preserve"> los ejes de transformación</w:t>
      </w:r>
      <w:r w:rsidR="00EA46BE" w:rsidRPr="00B406D7">
        <w:rPr>
          <w:rFonts w:ascii="Verdana" w:eastAsia="Times New Roman" w:hAnsi="Verdana" w:cs="Arial"/>
          <w:color w:val="000000"/>
          <w:lang w:val="es-CO" w:eastAsia="es-ES"/>
        </w:rPr>
        <w:t xml:space="preserve"> del Gobierno Nacional</w:t>
      </w:r>
      <w:r w:rsidR="003C5646" w:rsidRPr="00B406D7">
        <w:rPr>
          <w:rFonts w:ascii="Verdana" w:eastAsia="Times New Roman" w:hAnsi="Verdana" w:cs="Arial"/>
          <w:color w:val="000000"/>
          <w:lang w:val="es-CO" w:eastAsia="es-ES"/>
        </w:rPr>
        <w:t xml:space="preserve"> </w:t>
      </w:r>
      <w:r w:rsidR="001C7900" w:rsidRPr="00B406D7">
        <w:rPr>
          <w:rFonts w:ascii="Verdana" w:eastAsia="Times New Roman" w:hAnsi="Verdana" w:cs="Arial"/>
          <w:color w:val="000000"/>
          <w:lang w:val="es-CO" w:eastAsia="es-ES"/>
        </w:rPr>
        <w:t>son cinco (</w:t>
      </w:r>
      <w:r w:rsidR="00424CED" w:rsidRPr="00B406D7">
        <w:rPr>
          <w:rFonts w:ascii="Verdana" w:eastAsia="Times New Roman" w:hAnsi="Verdana" w:cs="Arial"/>
          <w:color w:val="000000"/>
          <w:lang w:val="es-CO" w:eastAsia="es-ES"/>
        </w:rPr>
        <w:t xml:space="preserve">5): i) </w:t>
      </w:r>
      <w:r w:rsidR="0048234C" w:rsidRPr="00B406D7">
        <w:rPr>
          <w:rFonts w:ascii="Verdana" w:eastAsia="Times New Roman" w:hAnsi="Verdana" w:cs="Arial"/>
          <w:color w:val="000000"/>
          <w:lang w:val="es-CO" w:eastAsia="es-ES"/>
        </w:rPr>
        <w:t xml:space="preserve">ordenamiento del territorio alrededor del agua; </w:t>
      </w:r>
      <w:proofErr w:type="spellStart"/>
      <w:r w:rsidR="0048234C" w:rsidRPr="00B406D7">
        <w:rPr>
          <w:rFonts w:ascii="Verdana" w:eastAsia="Times New Roman" w:hAnsi="Verdana" w:cs="Arial"/>
          <w:color w:val="000000"/>
          <w:lang w:val="es-CO" w:eastAsia="es-ES"/>
        </w:rPr>
        <w:t>ii</w:t>
      </w:r>
      <w:proofErr w:type="spellEnd"/>
      <w:r w:rsidR="0048234C" w:rsidRPr="00B406D7">
        <w:rPr>
          <w:rFonts w:ascii="Verdana" w:eastAsia="Times New Roman" w:hAnsi="Verdana" w:cs="Arial"/>
          <w:color w:val="000000"/>
          <w:lang w:val="es-CO" w:eastAsia="es-ES"/>
        </w:rPr>
        <w:t xml:space="preserve">) seguridad humana y justicia social; </w:t>
      </w:r>
      <w:proofErr w:type="spellStart"/>
      <w:r w:rsidR="0048234C" w:rsidRPr="00B406D7">
        <w:rPr>
          <w:rFonts w:ascii="Verdana" w:eastAsia="Times New Roman" w:hAnsi="Verdana" w:cs="Arial"/>
          <w:color w:val="000000"/>
          <w:lang w:val="es-CO" w:eastAsia="es-ES"/>
        </w:rPr>
        <w:t>iii</w:t>
      </w:r>
      <w:proofErr w:type="spellEnd"/>
      <w:r w:rsidR="0048234C" w:rsidRPr="00B406D7">
        <w:rPr>
          <w:rFonts w:ascii="Verdana" w:eastAsia="Times New Roman" w:hAnsi="Verdana" w:cs="Arial"/>
          <w:color w:val="000000"/>
          <w:lang w:val="es-CO" w:eastAsia="es-ES"/>
        </w:rPr>
        <w:t xml:space="preserve">) </w:t>
      </w:r>
      <w:r w:rsidR="00481E93" w:rsidRPr="00B406D7">
        <w:rPr>
          <w:rFonts w:ascii="Verdana" w:eastAsia="Times New Roman" w:hAnsi="Verdana" w:cs="Arial"/>
          <w:color w:val="000000"/>
          <w:lang w:val="es-CO" w:eastAsia="es-ES"/>
        </w:rPr>
        <w:t xml:space="preserve">derecho humano a la alimentación; </w:t>
      </w:r>
      <w:proofErr w:type="spellStart"/>
      <w:r w:rsidR="00481E93" w:rsidRPr="00B406D7">
        <w:rPr>
          <w:rFonts w:ascii="Verdana" w:eastAsia="Times New Roman" w:hAnsi="Verdana" w:cs="Arial"/>
          <w:color w:val="000000"/>
          <w:lang w:val="es-CO" w:eastAsia="es-ES"/>
        </w:rPr>
        <w:t>iv</w:t>
      </w:r>
      <w:proofErr w:type="spellEnd"/>
      <w:r w:rsidR="00481E93" w:rsidRPr="00B406D7">
        <w:rPr>
          <w:rFonts w:ascii="Verdana" w:eastAsia="Times New Roman" w:hAnsi="Verdana" w:cs="Arial"/>
          <w:color w:val="000000"/>
          <w:lang w:val="es-CO" w:eastAsia="es-ES"/>
        </w:rPr>
        <w:t xml:space="preserve">) transformación productiva, internacionalización </w:t>
      </w:r>
      <w:r w:rsidR="005D76C6" w:rsidRPr="00B406D7">
        <w:rPr>
          <w:rFonts w:ascii="Verdana" w:eastAsia="Times New Roman" w:hAnsi="Verdana" w:cs="Arial"/>
          <w:color w:val="000000"/>
          <w:lang w:val="es-CO" w:eastAsia="es-ES"/>
        </w:rPr>
        <w:t xml:space="preserve">y acción climática, y v) </w:t>
      </w:r>
      <w:r w:rsidR="00B65180" w:rsidRPr="00B406D7">
        <w:rPr>
          <w:rFonts w:ascii="Verdana" w:eastAsia="Times New Roman" w:hAnsi="Verdana" w:cs="Arial"/>
          <w:color w:val="000000"/>
          <w:lang w:val="es-CO" w:eastAsia="es-ES"/>
        </w:rPr>
        <w:t>convergencia regional.</w:t>
      </w:r>
      <w:r w:rsidR="00E000F9" w:rsidRPr="00B406D7">
        <w:rPr>
          <w:rFonts w:ascii="Verdana" w:eastAsia="Times New Roman" w:hAnsi="Verdana" w:cs="Arial"/>
          <w:color w:val="000000"/>
          <w:lang w:val="es-CO" w:eastAsia="es-ES"/>
        </w:rPr>
        <w:t xml:space="preserve"> De acuerdo con esto, se identificaron dos (2) ejes transformacionales </w:t>
      </w:r>
      <w:r w:rsidR="00EF08AC" w:rsidRPr="00B406D7">
        <w:rPr>
          <w:rFonts w:ascii="Verdana" w:eastAsia="Times New Roman" w:hAnsi="Verdana" w:cs="Arial"/>
          <w:color w:val="000000"/>
          <w:lang w:val="es-CO" w:eastAsia="es-ES"/>
        </w:rPr>
        <w:t xml:space="preserve">sobre los cuales se erige la modificación </w:t>
      </w:r>
      <w:r w:rsidR="00D81DC0" w:rsidRPr="00B406D7">
        <w:rPr>
          <w:rFonts w:ascii="Verdana" w:eastAsia="Times New Roman" w:hAnsi="Verdana" w:cs="Arial"/>
          <w:color w:val="000000"/>
          <w:lang w:val="es-CO" w:eastAsia="es-ES"/>
        </w:rPr>
        <w:t xml:space="preserve">de los Documentos Tipo del sector de infraestructura de transporte, de acuerdo con la Ley </w:t>
      </w:r>
      <w:r w:rsidR="00422808" w:rsidRPr="00B406D7">
        <w:rPr>
          <w:rFonts w:ascii="Verdana" w:eastAsia="Times New Roman" w:hAnsi="Verdana" w:cs="Arial"/>
          <w:color w:val="000000"/>
          <w:lang w:val="es-CO" w:eastAsia="es-ES"/>
        </w:rPr>
        <w:t xml:space="preserve">2294 de 2023: </w:t>
      </w:r>
    </w:p>
    <w:p w14:paraId="12FC4CBC" w14:textId="77777777" w:rsidR="00074F47" w:rsidRPr="00B406D7" w:rsidRDefault="00074F47" w:rsidP="00B24D6C">
      <w:pPr>
        <w:spacing w:after="0" w:line="240" w:lineRule="auto"/>
        <w:ind w:right="51"/>
        <w:jc w:val="both"/>
        <w:rPr>
          <w:rFonts w:ascii="Verdana" w:eastAsia="Times New Roman" w:hAnsi="Verdana" w:cs="Arial"/>
          <w:color w:val="000000"/>
          <w:lang w:val="es-CO" w:eastAsia="es-ES"/>
        </w:rPr>
      </w:pPr>
    </w:p>
    <w:p w14:paraId="4DF66F73" w14:textId="00B747C8" w:rsidR="00074F47" w:rsidRPr="00B406D7" w:rsidRDefault="003061A1" w:rsidP="003061A1">
      <w:pPr>
        <w:spacing w:after="0" w:line="240" w:lineRule="auto"/>
        <w:ind w:left="709" w:right="709"/>
        <w:jc w:val="both"/>
        <w:rPr>
          <w:rFonts w:ascii="Verdana" w:eastAsia="Times New Roman" w:hAnsi="Verdana" w:cs="Arial"/>
          <w:color w:val="000000"/>
          <w:lang w:eastAsia="es-ES"/>
        </w:rPr>
      </w:pPr>
      <w:r w:rsidRPr="00B406D7">
        <w:rPr>
          <w:rFonts w:ascii="Verdana" w:eastAsia="Times New Roman" w:hAnsi="Verdana" w:cs="Arial"/>
          <w:color w:val="000000"/>
          <w:lang w:eastAsia="es-ES"/>
        </w:rPr>
        <w:t>“</w:t>
      </w:r>
      <w:r w:rsidR="00677EC3" w:rsidRPr="00B406D7">
        <w:rPr>
          <w:rFonts w:ascii="Verdana" w:eastAsia="Times New Roman" w:hAnsi="Verdana" w:cs="Arial"/>
          <w:b/>
          <w:bCs/>
          <w:color w:val="000000"/>
          <w:lang w:eastAsia="es-ES"/>
        </w:rPr>
        <w:t xml:space="preserve">2. </w:t>
      </w:r>
      <w:r w:rsidR="00074F47" w:rsidRPr="00B406D7">
        <w:rPr>
          <w:rFonts w:ascii="Verdana" w:eastAsia="Times New Roman" w:hAnsi="Verdana" w:cs="Arial"/>
          <w:b/>
          <w:bCs/>
          <w:color w:val="000000"/>
          <w:lang w:eastAsia="es-ES"/>
        </w:rPr>
        <w:t>Seguridad humana y justicia social.</w:t>
      </w:r>
      <w:r w:rsidR="00074F47" w:rsidRPr="00B406D7">
        <w:rPr>
          <w:rFonts w:ascii="Verdana" w:eastAsia="Times New Roman" w:hAnsi="Verdana" w:cs="Arial"/>
          <w:color w:val="000000"/>
          <w:lang w:eastAsia="es-ES"/>
        </w:rPr>
        <w:t xml:space="preserve"> Transformación de la política social para la adaptación y mitigación del riesgo, que integra la protección de la vida con la seguridad jurídica e institucional, así como la seguridad económica y social. Parte de un conjunto de habilitadores estructurales como un sistema de protección social universal y adaptativo; una infraestructura física y digital para la vida y el buen vivir; la justicia como bien y servicio que asegure la universalidad y primacía de un conjunto de derechos y libertades fundamentales; y la seguridad y defensa integral de los territorios, las comunidades y las poblaciones. Estos habilitadores estructurales brindan las condiciones para la superación de las privaciones y la expansión de las capacidades en medio de la diversidad y la pluralidad.</w:t>
      </w:r>
    </w:p>
    <w:p w14:paraId="7F54C196" w14:textId="09E802C8" w:rsidR="00677EC3" w:rsidRPr="00B406D7" w:rsidRDefault="004A0171" w:rsidP="003061A1">
      <w:pPr>
        <w:spacing w:after="0" w:line="240" w:lineRule="auto"/>
        <w:ind w:left="709" w:right="709"/>
        <w:jc w:val="both"/>
        <w:rPr>
          <w:rFonts w:ascii="Verdana" w:eastAsia="Times New Roman" w:hAnsi="Verdana" w:cs="Arial"/>
          <w:color w:val="000000"/>
          <w:lang w:eastAsia="es-ES"/>
        </w:rPr>
      </w:pPr>
      <w:r w:rsidRPr="00B406D7">
        <w:rPr>
          <w:rFonts w:ascii="Verdana" w:eastAsia="Times New Roman" w:hAnsi="Verdana" w:cs="Arial"/>
          <w:color w:val="000000"/>
          <w:lang w:eastAsia="es-ES"/>
        </w:rPr>
        <w:t>(…)</w:t>
      </w:r>
    </w:p>
    <w:p w14:paraId="38B9B386" w14:textId="18A75355" w:rsidR="004A0171" w:rsidRPr="00B406D7" w:rsidRDefault="004A0171" w:rsidP="003061A1">
      <w:pPr>
        <w:spacing w:after="0" w:line="240" w:lineRule="auto"/>
        <w:ind w:left="709" w:right="709"/>
        <w:jc w:val="both"/>
        <w:rPr>
          <w:rFonts w:ascii="Verdana" w:eastAsia="Times New Roman" w:hAnsi="Verdana" w:cs="Arial"/>
          <w:color w:val="000000"/>
          <w:lang w:eastAsia="es-ES"/>
        </w:rPr>
      </w:pPr>
      <w:r w:rsidRPr="00B406D7">
        <w:rPr>
          <w:rFonts w:ascii="Verdana" w:eastAsia="Times New Roman" w:hAnsi="Verdana" w:cs="Arial"/>
          <w:b/>
          <w:bCs/>
          <w:color w:val="000000"/>
          <w:lang w:eastAsia="es-ES"/>
        </w:rPr>
        <w:lastRenderedPageBreak/>
        <w:t xml:space="preserve">5. </w:t>
      </w:r>
      <w:r w:rsidR="003061A1" w:rsidRPr="00B406D7">
        <w:rPr>
          <w:rFonts w:ascii="Verdana" w:eastAsia="Times New Roman" w:hAnsi="Verdana" w:cs="Arial"/>
          <w:b/>
          <w:bCs/>
          <w:color w:val="000000"/>
          <w:lang w:eastAsia="es-ES"/>
        </w:rPr>
        <w:t>Convergencia regional.</w:t>
      </w:r>
      <w:r w:rsidR="003061A1" w:rsidRPr="00B406D7">
        <w:rPr>
          <w:rFonts w:ascii="Verdana" w:eastAsia="Times New Roman" w:hAnsi="Verdana" w:cs="Arial"/>
          <w:color w:val="000000"/>
          <w:lang w:eastAsia="es-ES"/>
        </w:rPr>
        <w:t xml:space="preserve"> Es el proceso de reducción de brechas sociales y económicas entre hogares y regiones en el país, que se logra al garantizar un acceso adecuado a oportunidades, bienes y servicios. Para garantizar esta convergencia, es necesario fortalecer los vínculos intra e interregionales, y aumentar la productividad, competitividad e innovación en los territorios. Así mismo, se requiere transformar las instituciones y la gestión de lo público, poniendo al ciudadano en el centro de su accionar y construyendo un relacionamiento estrecho, mediado por la confianza, entre las comunidades y entre estas y las instituciones, para responder de manera acertada a sus necesidades y atender debidamente sus expectativas, a partir de marcos regulatorios consistentes.”</w:t>
      </w:r>
    </w:p>
    <w:p w14:paraId="71A0A3DF" w14:textId="77777777" w:rsidR="005F0A6F" w:rsidRPr="00B406D7" w:rsidRDefault="005F0A6F" w:rsidP="00B24D6C">
      <w:pPr>
        <w:spacing w:after="0" w:line="240" w:lineRule="auto"/>
        <w:ind w:right="51"/>
        <w:jc w:val="both"/>
        <w:rPr>
          <w:rFonts w:ascii="Verdana" w:eastAsia="Times New Roman" w:hAnsi="Verdana" w:cs="Arial"/>
          <w:color w:val="000000"/>
          <w:lang w:val="es-CO" w:eastAsia="es-ES"/>
        </w:rPr>
      </w:pPr>
    </w:p>
    <w:p w14:paraId="1440AC81" w14:textId="22F68B86" w:rsidR="00740066" w:rsidRPr="00B406D7" w:rsidRDefault="00173C8D"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Conforme a lo anterior, </w:t>
      </w:r>
      <w:r w:rsidR="00056160" w:rsidRPr="00B406D7">
        <w:rPr>
          <w:rFonts w:ascii="Verdana" w:eastAsia="Times New Roman" w:hAnsi="Verdana" w:cs="Arial"/>
          <w:color w:val="000000"/>
          <w:lang w:val="es-CO" w:eastAsia="es-ES"/>
        </w:rPr>
        <w:t xml:space="preserve">se </w:t>
      </w:r>
      <w:r w:rsidR="00481B66" w:rsidRPr="00B406D7">
        <w:rPr>
          <w:rFonts w:ascii="Verdana" w:eastAsia="Times New Roman" w:hAnsi="Verdana" w:cs="Arial"/>
          <w:color w:val="000000"/>
          <w:lang w:val="es-CO" w:eastAsia="es-ES"/>
        </w:rPr>
        <w:t>hace referencia</w:t>
      </w:r>
      <w:r w:rsidR="00056160" w:rsidRPr="00B406D7">
        <w:rPr>
          <w:rFonts w:ascii="Verdana" w:eastAsia="Times New Roman" w:hAnsi="Verdana" w:cs="Arial"/>
          <w:color w:val="000000"/>
          <w:lang w:val="es-CO" w:eastAsia="es-ES"/>
        </w:rPr>
        <w:t xml:space="preserve"> </w:t>
      </w:r>
      <w:r w:rsidR="00591C0F" w:rsidRPr="00B406D7">
        <w:rPr>
          <w:rFonts w:ascii="Verdana" w:eastAsia="Times New Roman" w:hAnsi="Verdana" w:cs="Arial"/>
          <w:color w:val="000000"/>
          <w:lang w:val="es-CO" w:eastAsia="es-ES"/>
        </w:rPr>
        <w:t>a</w:t>
      </w:r>
      <w:r w:rsidR="00056160" w:rsidRPr="00B406D7">
        <w:rPr>
          <w:rFonts w:ascii="Verdana" w:eastAsia="Times New Roman" w:hAnsi="Verdana" w:cs="Arial"/>
          <w:color w:val="000000"/>
          <w:lang w:val="es-CO" w:eastAsia="es-ES"/>
        </w:rPr>
        <w:t xml:space="preserve"> la vida y el buen vivir </w:t>
      </w:r>
      <w:r w:rsidR="00444FEE" w:rsidRPr="00B406D7">
        <w:rPr>
          <w:rFonts w:ascii="Verdana" w:eastAsia="Times New Roman" w:hAnsi="Verdana" w:cs="Arial"/>
          <w:color w:val="000000"/>
          <w:lang w:val="es-CO" w:eastAsia="es-ES"/>
        </w:rPr>
        <w:t>con base en una adecuada infraestructura física, lo</w:t>
      </w:r>
      <w:r w:rsidR="00B150FD" w:rsidRPr="00B406D7">
        <w:rPr>
          <w:rFonts w:ascii="Verdana" w:eastAsia="Times New Roman" w:hAnsi="Verdana" w:cs="Arial"/>
          <w:color w:val="000000"/>
          <w:lang w:val="es-CO" w:eastAsia="es-ES"/>
        </w:rPr>
        <w:t xml:space="preserve"> cual</w:t>
      </w:r>
      <w:r w:rsidR="00C6118A" w:rsidRPr="00B406D7">
        <w:rPr>
          <w:rFonts w:ascii="Verdana" w:eastAsia="Times New Roman" w:hAnsi="Verdana" w:cs="Arial"/>
          <w:color w:val="000000"/>
          <w:lang w:val="es-CO" w:eastAsia="es-ES"/>
        </w:rPr>
        <w:t xml:space="preserve"> implica </w:t>
      </w:r>
      <w:r w:rsidR="00C6118A" w:rsidRPr="00B406D7">
        <w:rPr>
          <w:rFonts w:ascii="Verdana" w:eastAsia="Times New Roman" w:hAnsi="Verdana" w:cs="Arial"/>
          <w:i/>
          <w:iCs/>
          <w:color w:val="000000"/>
          <w:lang w:val="es-CO" w:eastAsia="es-ES"/>
        </w:rPr>
        <w:t>per se</w:t>
      </w:r>
      <w:r w:rsidR="00C6118A" w:rsidRPr="00B406D7">
        <w:rPr>
          <w:rFonts w:ascii="Verdana" w:eastAsia="Times New Roman" w:hAnsi="Verdana" w:cs="Arial"/>
          <w:color w:val="000000"/>
          <w:lang w:val="es-CO" w:eastAsia="es-ES"/>
        </w:rPr>
        <w:t xml:space="preserve"> una </w:t>
      </w:r>
      <w:r w:rsidR="00F10AFC" w:rsidRPr="00B406D7">
        <w:rPr>
          <w:rFonts w:ascii="Verdana" w:eastAsia="Times New Roman" w:hAnsi="Verdana" w:cs="Arial"/>
          <w:color w:val="000000"/>
          <w:lang w:val="es-CO" w:eastAsia="es-ES"/>
        </w:rPr>
        <w:t xml:space="preserve">infraestructura de transporte apropiada </w:t>
      </w:r>
      <w:r w:rsidR="008066CF" w:rsidRPr="00B406D7">
        <w:rPr>
          <w:rFonts w:ascii="Verdana" w:eastAsia="Times New Roman" w:hAnsi="Verdana" w:cs="Arial"/>
          <w:color w:val="000000"/>
          <w:lang w:val="es-CO" w:eastAsia="es-ES"/>
        </w:rPr>
        <w:t>para el correcto funcionamiento del Estado.</w:t>
      </w:r>
      <w:r w:rsidR="00B150FD" w:rsidRPr="00B406D7">
        <w:rPr>
          <w:rFonts w:ascii="Verdana" w:eastAsia="Times New Roman" w:hAnsi="Verdana" w:cs="Arial"/>
          <w:color w:val="000000"/>
          <w:lang w:val="es-CO" w:eastAsia="es-ES"/>
        </w:rPr>
        <w:t xml:space="preserve"> </w:t>
      </w:r>
      <w:r w:rsidR="00740066" w:rsidRPr="00B406D7">
        <w:rPr>
          <w:rFonts w:ascii="Verdana" w:eastAsia="Times New Roman" w:hAnsi="Verdana" w:cs="Arial"/>
          <w:color w:val="000000"/>
          <w:lang w:val="es-CO" w:eastAsia="es-ES"/>
        </w:rPr>
        <w:t>Particularmente, respecto a</w:t>
      </w:r>
      <w:r w:rsidR="00EE0985" w:rsidRPr="00B406D7">
        <w:rPr>
          <w:rFonts w:ascii="Verdana" w:eastAsia="Times New Roman" w:hAnsi="Verdana" w:cs="Arial"/>
          <w:color w:val="000000"/>
          <w:lang w:val="es-CO" w:eastAsia="es-ES"/>
        </w:rPr>
        <w:t xml:space="preserve">l eje de </w:t>
      </w:r>
      <w:r w:rsidR="00EE0985" w:rsidRPr="00B406D7">
        <w:rPr>
          <w:rFonts w:ascii="Verdana" w:eastAsia="Times New Roman" w:hAnsi="Verdana" w:cs="Arial"/>
          <w:i/>
          <w:iCs/>
          <w:color w:val="000000"/>
          <w:lang w:val="es-CO" w:eastAsia="es-ES"/>
        </w:rPr>
        <w:t>convergencia regional</w:t>
      </w:r>
      <w:r w:rsidR="00EE0985" w:rsidRPr="00B406D7">
        <w:rPr>
          <w:rFonts w:ascii="Verdana" w:eastAsia="Times New Roman" w:hAnsi="Verdana" w:cs="Arial"/>
          <w:color w:val="000000"/>
          <w:lang w:val="es-CO" w:eastAsia="es-ES"/>
        </w:rPr>
        <w:t>, un</w:t>
      </w:r>
      <w:r w:rsidR="00C10E5F" w:rsidRPr="00B406D7">
        <w:rPr>
          <w:rFonts w:ascii="Verdana" w:eastAsia="Times New Roman" w:hAnsi="Verdana" w:cs="Arial"/>
          <w:color w:val="000000"/>
          <w:lang w:val="es-CO" w:eastAsia="es-ES"/>
        </w:rPr>
        <w:t xml:space="preserve">o de los elementos que </w:t>
      </w:r>
      <w:r w:rsidR="001306E0" w:rsidRPr="00B406D7">
        <w:rPr>
          <w:rFonts w:ascii="Verdana" w:eastAsia="Times New Roman" w:hAnsi="Verdana" w:cs="Arial"/>
          <w:color w:val="000000"/>
          <w:lang w:val="es-CO" w:eastAsia="es-ES"/>
        </w:rPr>
        <w:t>permite la reducción de brechas</w:t>
      </w:r>
      <w:r w:rsidR="00203424" w:rsidRPr="00B406D7">
        <w:rPr>
          <w:rFonts w:ascii="Verdana" w:eastAsia="Times New Roman" w:hAnsi="Verdana" w:cs="Arial"/>
          <w:color w:val="000000"/>
          <w:lang w:val="es-CO" w:eastAsia="es-ES"/>
        </w:rPr>
        <w:t xml:space="preserve"> sociales, el fortalecimiento de los vínculos intra e interregionales y </w:t>
      </w:r>
      <w:r w:rsidR="000D04E0" w:rsidRPr="00B406D7">
        <w:rPr>
          <w:rFonts w:ascii="Verdana" w:eastAsia="Times New Roman" w:hAnsi="Verdana" w:cs="Arial"/>
          <w:color w:val="000000"/>
          <w:lang w:val="es-CO" w:eastAsia="es-ES"/>
        </w:rPr>
        <w:t xml:space="preserve">el aumento de la productividad y competitividad en los territorios es la </w:t>
      </w:r>
      <w:r w:rsidR="000D04E0" w:rsidRPr="00B406D7">
        <w:rPr>
          <w:rFonts w:ascii="Verdana" w:eastAsia="Times New Roman" w:hAnsi="Verdana" w:cs="Arial"/>
          <w:i/>
          <w:iCs/>
          <w:color w:val="000000"/>
          <w:lang w:val="es-CO" w:eastAsia="es-ES"/>
        </w:rPr>
        <w:t>conectividad vial</w:t>
      </w:r>
      <w:r w:rsidR="000D04E0" w:rsidRPr="00B406D7">
        <w:rPr>
          <w:rFonts w:ascii="Verdana" w:eastAsia="Times New Roman" w:hAnsi="Verdana" w:cs="Arial"/>
          <w:color w:val="000000"/>
          <w:lang w:val="es-CO" w:eastAsia="es-ES"/>
        </w:rPr>
        <w:t xml:space="preserve">. </w:t>
      </w:r>
      <w:r w:rsidR="003E54A7" w:rsidRPr="00B406D7">
        <w:rPr>
          <w:rFonts w:ascii="Verdana" w:eastAsia="Times New Roman" w:hAnsi="Verdana" w:cs="Arial"/>
          <w:color w:val="000000"/>
          <w:lang w:val="es-CO" w:eastAsia="es-ES"/>
        </w:rPr>
        <w:t xml:space="preserve">Así, una adecuada infraestructura de transporte, presente en todo el territorio nacional, </w:t>
      </w:r>
      <w:r w:rsidR="00B050C5" w:rsidRPr="00B406D7">
        <w:rPr>
          <w:rFonts w:ascii="Verdana" w:eastAsia="Times New Roman" w:hAnsi="Verdana" w:cs="Arial"/>
          <w:color w:val="000000"/>
          <w:lang w:val="es-CO" w:eastAsia="es-ES"/>
        </w:rPr>
        <w:t xml:space="preserve">contribuye </w:t>
      </w:r>
      <w:r w:rsidR="00062A6E" w:rsidRPr="00B406D7">
        <w:rPr>
          <w:rFonts w:ascii="Verdana" w:eastAsia="Times New Roman" w:hAnsi="Verdana" w:cs="Arial"/>
          <w:color w:val="000000"/>
          <w:lang w:val="es-CO" w:eastAsia="es-ES"/>
        </w:rPr>
        <w:t>a que todo el país cuente con mejores condiciones sociales</w:t>
      </w:r>
      <w:r w:rsidR="001B0165" w:rsidRPr="00B406D7">
        <w:rPr>
          <w:rFonts w:ascii="Verdana" w:eastAsia="Times New Roman" w:hAnsi="Verdana" w:cs="Arial"/>
          <w:color w:val="000000"/>
          <w:lang w:val="es-CO" w:eastAsia="es-ES"/>
        </w:rPr>
        <w:t>, económicas y productivas, ya qu</w:t>
      </w:r>
      <w:r w:rsidR="004C4EB0" w:rsidRPr="00B406D7">
        <w:rPr>
          <w:rFonts w:ascii="Verdana" w:eastAsia="Times New Roman" w:hAnsi="Verdana" w:cs="Arial"/>
          <w:color w:val="000000"/>
          <w:lang w:val="es-CO" w:eastAsia="es-ES"/>
        </w:rPr>
        <w:t>e pu</w:t>
      </w:r>
      <w:r w:rsidR="00E300D7" w:rsidRPr="00B406D7">
        <w:rPr>
          <w:rFonts w:ascii="Verdana" w:eastAsia="Times New Roman" w:hAnsi="Verdana" w:cs="Arial"/>
          <w:color w:val="000000"/>
          <w:lang w:val="es-CO" w:eastAsia="es-ES"/>
        </w:rPr>
        <w:t>e</w:t>
      </w:r>
      <w:r w:rsidR="004C4EB0" w:rsidRPr="00B406D7">
        <w:rPr>
          <w:rFonts w:ascii="Verdana" w:eastAsia="Times New Roman" w:hAnsi="Verdana" w:cs="Arial"/>
          <w:color w:val="000000"/>
          <w:lang w:val="es-CO" w:eastAsia="es-ES"/>
        </w:rPr>
        <w:t>de reducir la distancia y los tiempos entre regiones y ciudades</w:t>
      </w:r>
      <w:r w:rsidR="00BD46E8" w:rsidRPr="00B406D7">
        <w:rPr>
          <w:rFonts w:ascii="Verdana" w:eastAsia="Times New Roman" w:hAnsi="Verdana" w:cs="Arial"/>
          <w:color w:val="000000"/>
          <w:lang w:val="es-CO" w:eastAsia="es-ES"/>
        </w:rPr>
        <w:t xml:space="preserve"> de forma segura</w:t>
      </w:r>
      <w:r w:rsidR="00AB5F9C" w:rsidRPr="00B406D7">
        <w:rPr>
          <w:rFonts w:ascii="Verdana" w:eastAsia="Times New Roman" w:hAnsi="Verdana" w:cs="Arial"/>
          <w:color w:val="000000"/>
          <w:lang w:val="es-CO" w:eastAsia="es-ES"/>
        </w:rPr>
        <w:t xml:space="preserve">, permite el acceso a mayores oportunidades </w:t>
      </w:r>
      <w:r w:rsidR="00C30661" w:rsidRPr="00B406D7">
        <w:rPr>
          <w:rFonts w:ascii="Verdana" w:eastAsia="Times New Roman" w:hAnsi="Verdana" w:cs="Arial"/>
          <w:color w:val="000000"/>
          <w:lang w:val="es-CO" w:eastAsia="es-ES"/>
        </w:rPr>
        <w:t xml:space="preserve">en diversos territorios, </w:t>
      </w:r>
      <w:r w:rsidR="00D84EFE" w:rsidRPr="00B406D7">
        <w:rPr>
          <w:rFonts w:ascii="Verdana" w:eastAsia="Times New Roman" w:hAnsi="Verdana" w:cs="Arial"/>
          <w:color w:val="000000"/>
          <w:lang w:val="es-CO" w:eastAsia="es-ES"/>
        </w:rPr>
        <w:t xml:space="preserve">mejora el </w:t>
      </w:r>
      <w:r w:rsidR="00C72153" w:rsidRPr="00B406D7">
        <w:rPr>
          <w:rFonts w:ascii="Verdana" w:eastAsia="Times New Roman" w:hAnsi="Verdana" w:cs="Arial"/>
          <w:color w:val="000000"/>
          <w:lang w:val="es-CO" w:eastAsia="es-ES"/>
        </w:rPr>
        <w:t xml:space="preserve">desarrollo económico de las áreas, </w:t>
      </w:r>
      <w:r w:rsidR="00BD46E8" w:rsidRPr="00B406D7">
        <w:rPr>
          <w:rFonts w:ascii="Verdana" w:eastAsia="Times New Roman" w:hAnsi="Verdana" w:cs="Arial"/>
          <w:color w:val="000000"/>
          <w:lang w:val="es-CO" w:eastAsia="es-ES"/>
        </w:rPr>
        <w:t>promueve</w:t>
      </w:r>
      <w:r w:rsidR="00C72153" w:rsidRPr="00B406D7">
        <w:rPr>
          <w:rFonts w:ascii="Verdana" w:eastAsia="Times New Roman" w:hAnsi="Verdana" w:cs="Arial"/>
          <w:color w:val="000000"/>
          <w:lang w:val="es-CO" w:eastAsia="es-ES"/>
        </w:rPr>
        <w:t xml:space="preserve"> el crecimiento industrial y comercial, </w:t>
      </w:r>
      <w:r w:rsidR="00BD46E8" w:rsidRPr="00B406D7">
        <w:rPr>
          <w:rFonts w:ascii="Verdana" w:eastAsia="Times New Roman" w:hAnsi="Verdana" w:cs="Arial"/>
          <w:color w:val="000000"/>
          <w:lang w:val="es-CO" w:eastAsia="es-ES"/>
        </w:rPr>
        <w:t>fomenta el turismo,</w:t>
      </w:r>
      <w:r w:rsidR="00373D69" w:rsidRPr="00B406D7">
        <w:rPr>
          <w:rFonts w:ascii="Verdana" w:eastAsia="Times New Roman" w:hAnsi="Verdana" w:cs="Arial"/>
          <w:color w:val="000000"/>
          <w:lang w:val="es-CO" w:eastAsia="es-ES"/>
        </w:rPr>
        <w:t xml:space="preserve"> entre otros aspectos que permiten el correcto funcionamiento del país. </w:t>
      </w:r>
      <w:r w:rsidR="00AD4F34" w:rsidRPr="00B406D7">
        <w:rPr>
          <w:rFonts w:ascii="Verdana" w:eastAsia="Times New Roman" w:hAnsi="Verdana" w:cs="Arial"/>
          <w:color w:val="000000"/>
          <w:lang w:val="es-CO" w:eastAsia="es-ES"/>
        </w:rPr>
        <w:t>Para esto, a su vez, es necesar</w:t>
      </w:r>
      <w:r w:rsidR="009C584D" w:rsidRPr="00B406D7">
        <w:rPr>
          <w:rFonts w:ascii="Verdana" w:eastAsia="Times New Roman" w:hAnsi="Verdana" w:cs="Arial"/>
          <w:color w:val="000000"/>
          <w:lang w:val="es-CO" w:eastAsia="es-ES"/>
        </w:rPr>
        <w:t>io un</w:t>
      </w:r>
      <w:r w:rsidR="00F13945" w:rsidRPr="00B406D7">
        <w:rPr>
          <w:rFonts w:ascii="Verdana" w:eastAsia="Times New Roman" w:hAnsi="Verdana" w:cs="Arial"/>
          <w:color w:val="000000"/>
          <w:lang w:val="es-CO" w:eastAsia="es-ES"/>
        </w:rPr>
        <w:t>os estudios adecuados de ingeniería de infraestructura de transporte.</w:t>
      </w:r>
    </w:p>
    <w:p w14:paraId="186F7778" w14:textId="77777777" w:rsidR="00CC5EFA" w:rsidRPr="00B406D7" w:rsidRDefault="00CC5EFA" w:rsidP="00B24D6C">
      <w:pPr>
        <w:spacing w:after="0" w:line="240" w:lineRule="auto"/>
        <w:ind w:right="51"/>
        <w:jc w:val="both"/>
        <w:rPr>
          <w:rFonts w:ascii="Verdana" w:eastAsia="Times New Roman" w:hAnsi="Verdana" w:cs="Arial"/>
          <w:color w:val="000000"/>
          <w:lang w:val="es-CO" w:eastAsia="es-ES"/>
        </w:rPr>
      </w:pPr>
    </w:p>
    <w:p w14:paraId="03AA5476" w14:textId="77777777" w:rsidR="00CC5EFA" w:rsidRPr="00B406D7" w:rsidRDefault="00CC5EFA" w:rsidP="00CC5EFA">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themeColor="text1"/>
          <w:lang w:val="es-CO" w:eastAsia="es-ES"/>
        </w:rPr>
        <w:t xml:space="preserve">Adicionalmente, es menester precisar que, uno de los principales objetivos de los documentos tipo es la lucha contra la corrupción, lo cual contribuye al cumplimiento de la Estrategia Nacional definida en el artículo 200 de la Ley 2294 de 2023. Esta norma establece lo siguiente: </w:t>
      </w:r>
    </w:p>
    <w:p w14:paraId="3876DE07" w14:textId="77777777" w:rsidR="00CC5EFA" w:rsidRPr="00B406D7" w:rsidRDefault="00CC5EFA" w:rsidP="00CC5EFA">
      <w:pPr>
        <w:spacing w:after="0" w:line="240" w:lineRule="auto"/>
        <w:ind w:right="51"/>
        <w:jc w:val="both"/>
        <w:rPr>
          <w:rFonts w:ascii="Verdana" w:eastAsia="Times New Roman" w:hAnsi="Verdana" w:cs="Arial"/>
          <w:color w:val="000000"/>
          <w:lang w:val="es-CO" w:eastAsia="es-ES"/>
        </w:rPr>
      </w:pPr>
    </w:p>
    <w:p w14:paraId="43307DFF"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w:t>
      </w:r>
      <w:r w:rsidRPr="00B406D7">
        <w:rPr>
          <w:rFonts w:ascii="Verdana" w:eastAsia="Times New Roman" w:hAnsi="Verdana" w:cs="Arial"/>
          <w:b/>
          <w:bCs/>
          <w:color w:val="000000"/>
          <w:lang w:val="es-CO" w:eastAsia="es-ES"/>
        </w:rPr>
        <w:t>Artículo 200. Estrategia nacional de lucha contra la corrupción.</w:t>
      </w:r>
      <w:r w:rsidRPr="00B406D7">
        <w:rPr>
          <w:rFonts w:ascii="Verdana" w:eastAsia="Times New Roman" w:hAnsi="Verdana" w:cs="Arial"/>
          <w:color w:val="000000"/>
          <w:lang w:val="es-CO" w:eastAsia="es-ES"/>
        </w:rPr>
        <w:t xml:space="preserve"> Con el propósito de fortalecer las Instituciones democráticas y el Estado Social de Derecho, garantizar la protección de los derechos humanos, proteger los recursos públicos, generar condiciones adecuadas para el desarrollo socioeconómico y proteger el Medio Ambiente, el Gobierno Nacional formulará una Estrategia Nacional de Lucha Contra la Corrupción.</w:t>
      </w:r>
    </w:p>
    <w:p w14:paraId="365E761B"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p>
    <w:p w14:paraId="60E5B4CF"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La Estrategia tendrá como dimensiones la garantía de los derechos humanos, la protección al denunciante, el derecho al acceso a la información pública, el fortalecimiento de la veeduría ciudadana, la transparencia en la contratación y la gestión pública, la innovación pública </w:t>
      </w:r>
      <w:r w:rsidRPr="00B406D7">
        <w:rPr>
          <w:rFonts w:ascii="Verdana" w:eastAsia="Times New Roman" w:hAnsi="Verdana" w:cs="Arial"/>
          <w:color w:val="000000"/>
          <w:lang w:val="es-CO" w:eastAsia="es-ES"/>
        </w:rPr>
        <w:lastRenderedPageBreak/>
        <w:t>y la implementación de mecanismos dirigidos a prevenir, detectar, gestionar y sancionar riesgos y hechos de corrupción bajo un enfoque sectorial.</w:t>
      </w:r>
    </w:p>
    <w:p w14:paraId="67566295"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p>
    <w:p w14:paraId="7810D1DB"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El Gobierno Nacional en cabeza de la Secretaría de Transparencia y las Subcomisiones Técnicas de la Comisión Nacional de Moralización, serán responsables de la coordinación, elaboración y evaluación de la Estrategia Nacional de Lucha contra la corrupción. La Red Nacional de Observatorios Anticorrupción y el Departamento Nacional de Planeación prestarán apoyo técnico para su formulación, monitoreo y seguimiento.</w:t>
      </w:r>
    </w:p>
    <w:p w14:paraId="384FB5B2" w14:textId="77777777" w:rsidR="00CC5EFA" w:rsidRPr="00B406D7" w:rsidRDefault="00CC5EFA" w:rsidP="00CC5EFA">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w:t>
      </w:r>
    </w:p>
    <w:p w14:paraId="64FA404F" w14:textId="77777777" w:rsidR="00CC5EFA" w:rsidRPr="00B406D7" w:rsidRDefault="00CC5EFA" w:rsidP="00CC5EFA">
      <w:pPr>
        <w:spacing w:after="0" w:line="240" w:lineRule="auto"/>
        <w:ind w:right="51"/>
        <w:jc w:val="both"/>
        <w:rPr>
          <w:rFonts w:ascii="Verdana" w:eastAsia="Times New Roman" w:hAnsi="Verdana" w:cs="Arial"/>
          <w:color w:val="000000"/>
          <w:lang w:val="es-CO" w:eastAsia="es-ES"/>
        </w:rPr>
      </w:pPr>
    </w:p>
    <w:p w14:paraId="6F81FDF3" w14:textId="75A06C9A" w:rsidR="00CC5EFA" w:rsidRPr="00B406D7" w:rsidRDefault="00CC5EFA" w:rsidP="00CC5EFA">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themeColor="text1"/>
          <w:lang w:val="es-CO" w:eastAsia="es-ES"/>
        </w:rPr>
        <w:t xml:space="preserve">Al respecto, es importante señalar que con los documentos tipo, entre otras, se incorporan </w:t>
      </w:r>
      <w:r w:rsidR="00695E29" w:rsidRPr="00B406D7">
        <w:rPr>
          <w:rFonts w:ascii="Verdana" w:eastAsia="Times New Roman" w:hAnsi="Verdana" w:cs="Arial"/>
          <w:color w:val="000000" w:themeColor="text1"/>
          <w:lang w:val="es-CO" w:eastAsia="es-ES"/>
        </w:rPr>
        <w:t>buenas</w:t>
      </w:r>
      <w:r w:rsidRPr="00B406D7">
        <w:rPr>
          <w:rFonts w:ascii="Verdana" w:eastAsia="Times New Roman" w:hAnsi="Verdana" w:cs="Arial"/>
          <w:color w:val="000000" w:themeColor="text1"/>
          <w:lang w:val="es-CO" w:eastAsia="es-ES"/>
        </w:rPr>
        <w:t xml:space="preserve"> prácticas contractuales, se optimizan los Procesos de Contratación, se contribuye a la transparencia y se garantiza la pluralidad de oferentes. Estas son algunas ventajas que promueven los documentos tipo y que permiten luchar contra la corrupción en Colombia, particularmente, desde la contratación pública. </w:t>
      </w:r>
    </w:p>
    <w:p w14:paraId="2F9BDBB2" w14:textId="77777777" w:rsidR="00740066" w:rsidRPr="00B406D7" w:rsidRDefault="00740066" w:rsidP="00B24D6C">
      <w:pPr>
        <w:spacing w:after="0" w:line="240" w:lineRule="auto"/>
        <w:ind w:right="51"/>
        <w:jc w:val="both"/>
        <w:rPr>
          <w:rFonts w:ascii="Verdana" w:eastAsia="Times New Roman" w:hAnsi="Verdana" w:cs="Arial"/>
          <w:color w:val="000000"/>
          <w:lang w:val="es-CO" w:eastAsia="es-ES"/>
        </w:rPr>
      </w:pPr>
    </w:p>
    <w:p w14:paraId="4D9D5A43" w14:textId="58E5A89B" w:rsidR="009979A4" w:rsidRPr="00B406D7" w:rsidRDefault="00CE6E61"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De forma similar, </w:t>
      </w:r>
      <w:r w:rsidR="00523B1F" w:rsidRPr="00B406D7">
        <w:rPr>
          <w:rFonts w:ascii="Verdana" w:eastAsia="Times New Roman" w:hAnsi="Verdana" w:cs="Arial"/>
          <w:color w:val="000000"/>
          <w:lang w:val="es-CO" w:eastAsia="es-ES"/>
        </w:rPr>
        <w:t xml:space="preserve">la Ley 2294 de </w:t>
      </w:r>
      <w:r w:rsidR="004B4A31" w:rsidRPr="00B406D7">
        <w:rPr>
          <w:rFonts w:ascii="Verdana" w:eastAsia="Times New Roman" w:hAnsi="Verdana" w:cs="Arial"/>
          <w:color w:val="000000"/>
          <w:lang w:val="es-CO" w:eastAsia="es-ES"/>
        </w:rPr>
        <w:t xml:space="preserve">2023 </w:t>
      </w:r>
      <w:r w:rsidRPr="00B406D7">
        <w:rPr>
          <w:rFonts w:ascii="Verdana" w:eastAsia="Times New Roman" w:hAnsi="Verdana" w:cs="Arial"/>
          <w:color w:val="000000"/>
          <w:lang w:val="es-CO" w:eastAsia="es-ES"/>
        </w:rPr>
        <w:t xml:space="preserve">apunta </w:t>
      </w:r>
      <w:r w:rsidR="00B87492" w:rsidRPr="00B406D7">
        <w:rPr>
          <w:rFonts w:ascii="Verdana" w:eastAsia="Times New Roman" w:hAnsi="Verdana" w:cs="Arial"/>
          <w:color w:val="000000"/>
          <w:lang w:val="es-CO" w:eastAsia="es-ES"/>
        </w:rPr>
        <w:t>al desarrollo de la infraestructura de transporte</w:t>
      </w:r>
      <w:r w:rsidR="004A056B" w:rsidRPr="00B406D7">
        <w:rPr>
          <w:rFonts w:ascii="Verdana" w:eastAsia="Times New Roman" w:hAnsi="Verdana" w:cs="Arial"/>
          <w:color w:val="000000"/>
          <w:lang w:val="es-CO" w:eastAsia="es-ES"/>
        </w:rPr>
        <w:t xml:space="preserve"> en el país, </w:t>
      </w:r>
      <w:r w:rsidR="00757D74" w:rsidRPr="00B406D7">
        <w:rPr>
          <w:rFonts w:ascii="Verdana" w:eastAsia="Times New Roman" w:hAnsi="Verdana" w:cs="Arial"/>
          <w:color w:val="000000"/>
          <w:lang w:val="es-CO" w:eastAsia="es-ES"/>
        </w:rPr>
        <w:t xml:space="preserve">consintiendo la </w:t>
      </w:r>
      <w:r w:rsidR="00C43D54" w:rsidRPr="00B406D7">
        <w:rPr>
          <w:rFonts w:ascii="Verdana" w:eastAsia="Times New Roman" w:hAnsi="Verdana" w:cs="Arial"/>
          <w:color w:val="000000"/>
          <w:lang w:val="es-CO" w:eastAsia="es-ES"/>
        </w:rPr>
        <w:t>concurrencia de fuentes de financiación para proyectos de infraestructura de transporte</w:t>
      </w:r>
      <w:r w:rsidR="000C4694" w:rsidRPr="00B406D7">
        <w:rPr>
          <w:rFonts w:ascii="Verdana" w:eastAsia="Times New Roman" w:hAnsi="Verdana" w:cs="Arial"/>
          <w:color w:val="000000"/>
          <w:lang w:val="es-CO" w:eastAsia="es-ES"/>
        </w:rPr>
        <w:t xml:space="preserve">. Esto permite que los proyectos de infraestructura de transporte cuenten con </w:t>
      </w:r>
      <w:r w:rsidR="00691895" w:rsidRPr="00B406D7">
        <w:rPr>
          <w:rFonts w:ascii="Verdana" w:eastAsia="Times New Roman" w:hAnsi="Verdana" w:cs="Arial"/>
          <w:color w:val="000000"/>
          <w:lang w:val="es-CO" w:eastAsia="es-ES"/>
        </w:rPr>
        <w:t>bases fina</w:t>
      </w:r>
      <w:r w:rsidR="001371CE" w:rsidRPr="00B406D7">
        <w:rPr>
          <w:rFonts w:ascii="Verdana" w:eastAsia="Times New Roman" w:hAnsi="Verdana" w:cs="Arial"/>
          <w:color w:val="000000"/>
          <w:lang w:val="es-CO" w:eastAsia="es-ES"/>
        </w:rPr>
        <w:t>ncieras sólidas para su correcta ejecución y finalización</w:t>
      </w:r>
      <w:r w:rsidR="00C43D54" w:rsidRPr="00B406D7">
        <w:rPr>
          <w:rFonts w:ascii="Verdana" w:eastAsia="Times New Roman" w:hAnsi="Verdana" w:cs="Arial"/>
          <w:color w:val="000000"/>
          <w:lang w:val="es-CO" w:eastAsia="es-ES"/>
        </w:rPr>
        <w:t xml:space="preserve">: </w:t>
      </w:r>
    </w:p>
    <w:p w14:paraId="24996744" w14:textId="77777777" w:rsidR="00220F96" w:rsidRPr="00B406D7" w:rsidRDefault="00220F96" w:rsidP="00B24D6C">
      <w:pPr>
        <w:spacing w:after="0" w:line="240" w:lineRule="auto"/>
        <w:ind w:right="51"/>
        <w:jc w:val="both"/>
        <w:rPr>
          <w:rFonts w:ascii="Verdana" w:eastAsia="Times New Roman" w:hAnsi="Verdana" w:cs="Arial"/>
          <w:color w:val="000000"/>
          <w:lang w:val="es-CO" w:eastAsia="es-ES"/>
        </w:rPr>
      </w:pPr>
    </w:p>
    <w:p w14:paraId="2ED62817" w14:textId="753809C4" w:rsidR="00220F96" w:rsidRPr="00B406D7" w:rsidRDefault="006F2453" w:rsidP="006F2453">
      <w:pPr>
        <w:spacing w:after="0" w:line="240" w:lineRule="auto"/>
        <w:ind w:left="709" w:right="709"/>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w:t>
      </w:r>
      <w:r w:rsidR="00220F96" w:rsidRPr="00B406D7">
        <w:rPr>
          <w:rFonts w:ascii="Verdana" w:eastAsia="Times New Roman" w:hAnsi="Verdana" w:cs="Arial"/>
          <w:b/>
          <w:bCs/>
          <w:color w:val="000000"/>
          <w:lang w:val="es-CO" w:eastAsia="es-ES"/>
        </w:rPr>
        <w:t>Artículo 255. Concurrencia en la financiación de proyectos de infraestructura de transporte.</w:t>
      </w:r>
      <w:r w:rsidR="00220F96" w:rsidRPr="00B406D7">
        <w:rPr>
          <w:rFonts w:ascii="Verdana" w:eastAsia="Times New Roman" w:hAnsi="Verdana" w:cs="Arial"/>
          <w:color w:val="000000"/>
          <w:lang w:val="es-CO" w:eastAsia="es-ES"/>
        </w:rPr>
        <w:t xml:space="preserve"> Bajo el principio de concurrencia que establece el Plan Nacional de Desarrollo Colombia Potencia Mundial de la Vida y con el propósito de contar con diversas fuentes de financiación que permitan la </w:t>
      </w:r>
      <w:proofErr w:type="spellStart"/>
      <w:r w:rsidR="00220F96" w:rsidRPr="00B406D7">
        <w:rPr>
          <w:rFonts w:ascii="Verdana" w:eastAsia="Times New Roman" w:hAnsi="Verdana" w:cs="Arial"/>
          <w:color w:val="000000"/>
          <w:lang w:val="es-CO" w:eastAsia="es-ES"/>
        </w:rPr>
        <w:t>viabilización</w:t>
      </w:r>
      <w:proofErr w:type="spellEnd"/>
      <w:r w:rsidR="00220F96" w:rsidRPr="00B406D7">
        <w:rPr>
          <w:rFonts w:ascii="Verdana" w:eastAsia="Times New Roman" w:hAnsi="Verdana" w:cs="Arial"/>
          <w:color w:val="000000"/>
          <w:lang w:val="es-CO" w:eastAsia="es-ES"/>
        </w:rPr>
        <w:t xml:space="preserve"> para la ejecución de proyectos de infraestructura de transporte, se podrá contar dentro de la financiación de un mismo proyecto con diferentes fuentes, tales como: Presupuesto General de la Nación, recursos territoriales, obras por impuestos, regalías, valorización, recursos regionales, contraprestaciones entré otros, para tal efecto, las entidades tendrán en cuenta su capacidad financiera según el Marco Fiscal de Mediano Plazo.</w:t>
      </w:r>
      <w:r w:rsidRPr="00B406D7">
        <w:rPr>
          <w:rFonts w:ascii="Verdana" w:eastAsia="Times New Roman" w:hAnsi="Verdana" w:cs="Arial"/>
          <w:color w:val="000000"/>
          <w:lang w:val="es-CO" w:eastAsia="es-ES"/>
        </w:rPr>
        <w:t>”</w:t>
      </w:r>
    </w:p>
    <w:p w14:paraId="1BC5AD1E" w14:textId="77777777" w:rsidR="00D84E15" w:rsidRPr="00B406D7" w:rsidRDefault="00D84E15" w:rsidP="00B24D6C">
      <w:pPr>
        <w:spacing w:after="0" w:line="240" w:lineRule="auto"/>
        <w:ind w:right="51"/>
        <w:jc w:val="both"/>
        <w:rPr>
          <w:rFonts w:ascii="Verdana" w:eastAsia="Times New Roman" w:hAnsi="Verdana" w:cs="Arial"/>
          <w:color w:val="000000"/>
          <w:lang w:val="es-CO" w:eastAsia="es-ES"/>
        </w:rPr>
      </w:pPr>
    </w:p>
    <w:p w14:paraId="1476D987" w14:textId="0A820485" w:rsidR="00220F96" w:rsidRPr="00B406D7" w:rsidRDefault="00202F6C"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Por otra parte, de acuerdo con el Observatorio Nacional de Logística</w:t>
      </w:r>
      <w:r w:rsidR="0066730E" w:rsidRPr="00B406D7">
        <w:rPr>
          <w:rStyle w:val="Refdenotaalpie"/>
          <w:rFonts w:ascii="Verdana" w:eastAsia="Times New Roman" w:hAnsi="Verdana" w:cs="Arial"/>
          <w:color w:val="000000"/>
          <w:lang w:val="es-CO" w:eastAsia="es-ES"/>
        </w:rPr>
        <w:footnoteReference w:id="4"/>
      </w:r>
      <w:r w:rsidRPr="00B406D7">
        <w:rPr>
          <w:rFonts w:ascii="Verdana" w:eastAsia="Times New Roman" w:hAnsi="Verdana" w:cs="Arial"/>
          <w:color w:val="000000"/>
          <w:lang w:val="es-CO" w:eastAsia="es-ES"/>
        </w:rPr>
        <w:t xml:space="preserve">, </w:t>
      </w:r>
      <w:r w:rsidR="00230EE5" w:rsidRPr="00B406D7">
        <w:rPr>
          <w:rFonts w:ascii="Verdana" w:eastAsia="Times New Roman" w:hAnsi="Verdana" w:cs="Arial"/>
          <w:color w:val="000000"/>
          <w:lang w:val="es-CO" w:eastAsia="es-ES"/>
        </w:rPr>
        <w:t>Colombia cuenta con regiones que no tienen una adecuada conectividad vial</w:t>
      </w:r>
      <w:r w:rsidR="00000FFE" w:rsidRPr="00B406D7">
        <w:rPr>
          <w:rFonts w:ascii="Verdana" w:eastAsia="Times New Roman" w:hAnsi="Verdana" w:cs="Arial"/>
          <w:color w:val="000000"/>
          <w:lang w:val="es-CO" w:eastAsia="es-ES"/>
        </w:rPr>
        <w:t xml:space="preserve">, ya que el 41,6% de los municipios se encuentra a más de dos (2) horas del Sistema de Ciudades y 58 municipios no se encuentran conectados a </w:t>
      </w:r>
      <w:r w:rsidR="00044025" w:rsidRPr="00B406D7">
        <w:rPr>
          <w:rFonts w:ascii="Verdana" w:eastAsia="Times New Roman" w:hAnsi="Verdana" w:cs="Arial"/>
          <w:color w:val="000000"/>
          <w:lang w:val="es-CO" w:eastAsia="es-ES"/>
        </w:rPr>
        <w:t>las redes viales de carretera.</w:t>
      </w:r>
      <w:r w:rsidR="007A6A29" w:rsidRPr="00B406D7">
        <w:rPr>
          <w:rFonts w:ascii="Verdana" w:eastAsia="Times New Roman" w:hAnsi="Verdana" w:cs="Arial"/>
          <w:color w:val="000000"/>
          <w:lang w:val="es-CO" w:eastAsia="es-ES"/>
        </w:rPr>
        <w:t xml:space="preserve"> Conforme al Observatorio, </w:t>
      </w:r>
      <w:r w:rsidR="0071628B" w:rsidRPr="00B406D7">
        <w:rPr>
          <w:rFonts w:ascii="Verdana" w:eastAsia="Times New Roman" w:hAnsi="Verdana" w:cs="Arial"/>
          <w:color w:val="000000"/>
          <w:lang w:val="es-CO" w:eastAsia="es-ES"/>
        </w:rPr>
        <w:t xml:space="preserve">el Gobierno Nacional </w:t>
      </w:r>
      <w:r w:rsidR="00BD2C9F" w:rsidRPr="00B406D7">
        <w:rPr>
          <w:rFonts w:ascii="Verdana" w:eastAsia="Times New Roman" w:hAnsi="Verdana" w:cs="Arial"/>
          <w:color w:val="000000"/>
          <w:lang w:val="es-CO" w:eastAsia="es-ES"/>
        </w:rPr>
        <w:t>planteó la “Estrategia de Conectividad Regional-</w:t>
      </w:r>
      <w:r w:rsidR="00BD2C9F" w:rsidRPr="00B406D7">
        <w:rPr>
          <w:rFonts w:ascii="Verdana" w:eastAsia="Times New Roman" w:hAnsi="Verdana" w:cs="Arial"/>
          <w:color w:val="000000"/>
          <w:lang w:val="es-CO" w:eastAsia="es-ES"/>
        </w:rPr>
        <w:lastRenderedPageBreak/>
        <w:t xml:space="preserve">ECR”, </w:t>
      </w:r>
      <w:r w:rsidR="00D50F4D" w:rsidRPr="00B406D7">
        <w:rPr>
          <w:rFonts w:ascii="Verdana" w:eastAsia="Times New Roman" w:hAnsi="Verdana" w:cs="Arial"/>
          <w:color w:val="000000"/>
          <w:lang w:val="es-CO" w:eastAsia="es-ES"/>
        </w:rPr>
        <w:t>con el objetivo de identificar la infraestructura regional que permita conectar el 100% de los municipios y alrededor del 92</w:t>
      </w:r>
      <w:r w:rsidR="0084315E" w:rsidRPr="00B406D7">
        <w:rPr>
          <w:rFonts w:ascii="Verdana" w:eastAsia="Times New Roman" w:hAnsi="Verdana" w:cs="Arial"/>
          <w:color w:val="000000"/>
          <w:lang w:val="es-CO" w:eastAsia="es-ES"/>
        </w:rPr>
        <w:t>% de</w:t>
      </w:r>
      <w:r w:rsidR="00A212F4" w:rsidRPr="00B406D7">
        <w:rPr>
          <w:rFonts w:ascii="Verdana" w:eastAsia="Times New Roman" w:hAnsi="Verdana" w:cs="Arial"/>
          <w:color w:val="000000"/>
          <w:lang w:val="es-CO" w:eastAsia="es-ES"/>
        </w:rPr>
        <w:t xml:space="preserve"> </w:t>
      </w:r>
      <w:r w:rsidR="0084315E" w:rsidRPr="00B406D7">
        <w:rPr>
          <w:rFonts w:ascii="Verdana" w:eastAsia="Times New Roman" w:hAnsi="Verdana" w:cs="Arial"/>
          <w:color w:val="000000"/>
          <w:lang w:val="es-CO" w:eastAsia="es-ES"/>
        </w:rPr>
        <w:t>los centros poblados del país, beneficiando a un 81,3</w:t>
      </w:r>
      <w:r w:rsidR="00D140D8" w:rsidRPr="00B406D7">
        <w:rPr>
          <w:rFonts w:ascii="Verdana" w:eastAsia="Times New Roman" w:hAnsi="Verdana" w:cs="Arial"/>
          <w:color w:val="000000"/>
          <w:lang w:val="es-CO" w:eastAsia="es-ES"/>
        </w:rPr>
        <w:t>%</w:t>
      </w:r>
      <w:r w:rsidR="0084315E" w:rsidRPr="00B406D7">
        <w:rPr>
          <w:rFonts w:ascii="Verdana" w:eastAsia="Times New Roman" w:hAnsi="Verdana" w:cs="Arial"/>
          <w:color w:val="000000"/>
          <w:lang w:val="es-CO" w:eastAsia="es-ES"/>
        </w:rPr>
        <w:t xml:space="preserve"> de la población.</w:t>
      </w:r>
      <w:r w:rsidR="00A212F4" w:rsidRPr="00B406D7">
        <w:rPr>
          <w:rFonts w:ascii="Verdana" w:eastAsia="Times New Roman" w:hAnsi="Verdana" w:cs="Arial"/>
          <w:color w:val="000000"/>
          <w:lang w:val="es-CO" w:eastAsia="es-ES"/>
        </w:rPr>
        <w:t xml:space="preserve"> Se propende así por el </w:t>
      </w:r>
      <w:r w:rsidR="00104AA9" w:rsidRPr="00B406D7">
        <w:rPr>
          <w:rFonts w:ascii="Verdana" w:eastAsia="Times New Roman" w:hAnsi="Verdana" w:cs="Arial"/>
          <w:color w:val="000000"/>
          <w:lang w:val="es-CO" w:eastAsia="es-ES"/>
        </w:rPr>
        <w:t xml:space="preserve">cierre de brechas según lo dispuesto en el Plan Nacional de Desarrollo 2022-2026, </w:t>
      </w:r>
      <w:r w:rsidR="0066730E" w:rsidRPr="00B406D7">
        <w:rPr>
          <w:rFonts w:ascii="Verdana" w:eastAsia="Times New Roman" w:hAnsi="Verdana" w:cs="Arial"/>
          <w:color w:val="000000"/>
          <w:lang w:val="es-CO" w:eastAsia="es-ES"/>
        </w:rPr>
        <w:t>con la intervención de corred</w:t>
      </w:r>
      <w:r w:rsidR="00A46EA2" w:rsidRPr="00B406D7">
        <w:rPr>
          <w:rFonts w:ascii="Verdana" w:eastAsia="Times New Roman" w:hAnsi="Verdana" w:cs="Arial"/>
          <w:color w:val="000000"/>
          <w:lang w:val="es-CO" w:eastAsia="es-ES"/>
        </w:rPr>
        <w:t>o</w:t>
      </w:r>
      <w:r w:rsidR="0066730E" w:rsidRPr="00B406D7">
        <w:rPr>
          <w:rFonts w:ascii="Verdana" w:eastAsia="Times New Roman" w:hAnsi="Verdana" w:cs="Arial"/>
          <w:color w:val="000000"/>
          <w:lang w:val="es-CO" w:eastAsia="es-ES"/>
        </w:rPr>
        <w:t xml:space="preserve">res prioritarios en todo el país. </w:t>
      </w:r>
    </w:p>
    <w:p w14:paraId="655873B4" w14:textId="77777777" w:rsidR="00D07F39" w:rsidRPr="00B406D7" w:rsidRDefault="00D07F39" w:rsidP="00B24D6C">
      <w:pPr>
        <w:spacing w:after="0" w:line="240" w:lineRule="auto"/>
        <w:ind w:right="51"/>
        <w:jc w:val="both"/>
        <w:rPr>
          <w:rFonts w:ascii="Verdana" w:eastAsia="Times New Roman" w:hAnsi="Verdana" w:cs="Arial"/>
          <w:color w:val="000000"/>
          <w:lang w:val="es-CO" w:eastAsia="es-ES"/>
        </w:rPr>
      </w:pPr>
    </w:p>
    <w:p w14:paraId="1000BFB5" w14:textId="20B4ACBC" w:rsidR="00C97CEC" w:rsidRPr="00B406D7" w:rsidRDefault="00C97CEC"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En virtud de lo anterior,</w:t>
      </w:r>
      <w:r w:rsidR="00FF4EE6" w:rsidRPr="00B406D7">
        <w:rPr>
          <w:rFonts w:ascii="Verdana" w:eastAsia="Times New Roman" w:hAnsi="Verdana" w:cs="Arial"/>
          <w:color w:val="000000"/>
          <w:lang w:val="es-CO" w:eastAsia="es-ES"/>
        </w:rPr>
        <w:t xml:space="preserve"> el Plan Nacional de Desarrollo 2022-2026 “Colombia Potencia Mundial de la Vida” –Ley 2294 de 2023– se </w:t>
      </w:r>
      <w:r w:rsidR="00CE4797" w:rsidRPr="00B406D7">
        <w:rPr>
          <w:rFonts w:ascii="Verdana" w:eastAsia="Times New Roman" w:hAnsi="Verdana" w:cs="Arial"/>
          <w:color w:val="000000"/>
          <w:lang w:val="es-CO" w:eastAsia="es-ES"/>
        </w:rPr>
        <w:t>erige como</w:t>
      </w:r>
      <w:r w:rsidR="00FF4EE6" w:rsidRPr="00B406D7">
        <w:rPr>
          <w:rFonts w:ascii="Verdana" w:eastAsia="Times New Roman" w:hAnsi="Verdana" w:cs="Arial"/>
          <w:color w:val="000000"/>
          <w:lang w:val="es-CO" w:eastAsia="es-ES"/>
        </w:rPr>
        <w:t xml:space="preserve"> un instrumento indispensable para </w:t>
      </w:r>
      <w:r w:rsidR="00D712EF" w:rsidRPr="00B406D7">
        <w:rPr>
          <w:rFonts w:ascii="Verdana" w:eastAsia="Times New Roman" w:hAnsi="Verdana" w:cs="Arial"/>
          <w:color w:val="000000"/>
          <w:lang w:val="es-CO" w:eastAsia="es-ES"/>
        </w:rPr>
        <w:t>la intervención</w:t>
      </w:r>
      <w:r w:rsidR="00CE0146" w:rsidRPr="00B406D7">
        <w:rPr>
          <w:rFonts w:ascii="Verdana" w:eastAsia="Times New Roman" w:hAnsi="Verdana" w:cs="Arial"/>
          <w:color w:val="000000"/>
          <w:lang w:val="es-CO" w:eastAsia="es-ES"/>
        </w:rPr>
        <w:t>, optimización</w:t>
      </w:r>
      <w:r w:rsidR="006275C2" w:rsidRPr="00B406D7">
        <w:rPr>
          <w:rFonts w:ascii="Verdana" w:eastAsia="Times New Roman" w:hAnsi="Verdana" w:cs="Arial"/>
          <w:color w:val="000000"/>
          <w:lang w:val="es-CO" w:eastAsia="es-ES"/>
        </w:rPr>
        <w:t>,</w:t>
      </w:r>
      <w:r w:rsidR="00CE0146" w:rsidRPr="00B406D7">
        <w:rPr>
          <w:rFonts w:ascii="Verdana" w:eastAsia="Times New Roman" w:hAnsi="Verdana" w:cs="Arial"/>
          <w:color w:val="000000"/>
          <w:lang w:val="es-CO" w:eastAsia="es-ES"/>
        </w:rPr>
        <w:t xml:space="preserve"> construcción</w:t>
      </w:r>
      <w:r w:rsidR="006275C2" w:rsidRPr="00B406D7">
        <w:rPr>
          <w:rFonts w:ascii="Verdana" w:eastAsia="Times New Roman" w:hAnsi="Verdana" w:cs="Arial"/>
          <w:color w:val="000000"/>
          <w:lang w:val="es-CO" w:eastAsia="es-ES"/>
        </w:rPr>
        <w:t xml:space="preserve"> y seguimiento</w:t>
      </w:r>
      <w:r w:rsidR="00CE0146" w:rsidRPr="00B406D7">
        <w:rPr>
          <w:rFonts w:ascii="Verdana" w:eastAsia="Times New Roman" w:hAnsi="Verdana" w:cs="Arial"/>
          <w:color w:val="000000"/>
          <w:lang w:val="es-CO" w:eastAsia="es-ES"/>
        </w:rPr>
        <w:t xml:space="preserve"> de infraestructura de transporte, </w:t>
      </w:r>
      <w:r w:rsidR="009A5D89" w:rsidRPr="00B406D7">
        <w:rPr>
          <w:rFonts w:ascii="Verdana" w:eastAsia="Times New Roman" w:hAnsi="Verdana" w:cs="Arial"/>
          <w:color w:val="000000"/>
          <w:lang w:val="es-CO" w:eastAsia="es-ES"/>
        </w:rPr>
        <w:t xml:space="preserve">en el marco de </w:t>
      </w:r>
      <w:r w:rsidR="00E35931" w:rsidRPr="00B406D7">
        <w:rPr>
          <w:rFonts w:ascii="Verdana" w:eastAsia="Times New Roman" w:hAnsi="Verdana" w:cs="Arial"/>
          <w:color w:val="000000"/>
          <w:lang w:val="es-CO" w:eastAsia="es-ES"/>
        </w:rPr>
        <w:t xml:space="preserve">la justicia social, </w:t>
      </w:r>
      <w:r w:rsidR="00E31E8D" w:rsidRPr="00B406D7">
        <w:rPr>
          <w:rFonts w:ascii="Verdana" w:eastAsia="Times New Roman" w:hAnsi="Verdana" w:cs="Arial"/>
          <w:color w:val="000000"/>
          <w:lang w:val="es-CO" w:eastAsia="es-ES"/>
        </w:rPr>
        <w:t>la superación de brechas y la vida como pilar fundamental</w:t>
      </w:r>
      <w:r w:rsidR="00CE4797" w:rsidRPr="00B406D7">
        <w:rPr>
          <w:rFonts w:ascii="Verdana" w:eastAsia="Times New Roman" w:hAnsi="Verdana" w:cs="Arial"/>
          <w:color w:val="000000"/>
          <w:lang w:val="es-CO" w:eastAsia="es-ES"/>
        </w:rPr>
        <w:t xml:space="preserve"> para el cumplimiento de los fines estatales. </w:t>
      </w:r>
    </w:p>
    <w:p w14:paraId="1E1E6F05" w14:textId="77777777" w:rsidR="005D49D2" w:rsidRPr="00B406D7" w:rsidRDefault="005D49D2" w:rsidP="00B24D6C">
      <w:pPr>
        <w:spacing w:after="0" w:line="240" w:lineRule="auto"/>
        <w:ind w:right="51"/>
        <w:jc w:val="both"/>
        <w:rPr>
          <w:rFonts w:ascii="Verdana" w:eastAsia="Times New Roman" w:hAnsi="Verdana" w:cs="Arial"/>
          <w:color w:val="000000"/>
          <w:lang w:val="es-CO" w:eastAsia="es-ES"/>
        </w:rPr>
      </w:pPr>
    </w:p>
    <w:p w14:paraId="5ED086CD" w14:textId="6FE35DBD" w:rsidR="005D49D2" w:rsidRPr="00B406D7" w:rsidRDefault="005D49D2" w:rsidP="00B24D6C">
      <w:pPr>
        <w:spacing w:after="0" w:line="240" w:lineRule="auto"/>
        <w:ind w:right="51"/>
        <w:jc w:val="both"/>
        <w:rPr>
          <w:rFonts w:ascii="Verdana" w:eastAsia="Times New Roman" w:hAnsi="Verdana" w:cs="Arial"/>
          <w:b/>
          <w:bCs/>
          <w:color w:val="000000"/>
          <w:lang w:val="es-CO" w:eastAsia="es-ES"/>
        </w:rPr>
      </w:pPr>
      <w:r w:rsidRPr="00B406D7">
        <w:rPr>
          <w:rFonts w:ascii="Verdana" w:eastAsia="Times New Roman" w:hAnsi="Verdana" w:cs="Arial"/>
          <w:b/>
          <w:bCs/>
          <w:color w:val="000000"/>
          <w:lang w:val="es-CO" w:eastAsia="es-ES"/>
        </w:rPr>
        <w:t xml:space="preserve">2.2. </w:t>
      </w:r>
      <w:r w:rsidR="00356EE7" w:rsidRPr="00B406D7">
        <w:rPr>
          <w:rFonts w:ascii="Verdana" w:eastAsia="Times New Roman" w:hAnsi="Verdana" w:cs="Arial"/>
          <w:b/>
          <w:bCs/>
          <w:color w:val="000000"/>
          <w:lang w:val="es-CO" w:eastAsia="es-ES"/>
        </w:rPr>
        <w:t xml:space="preserve">Plan Maestro de Transporte Intermodal </w:t>
      </w:r>
      <w:r w:rsidR="00E846DE" w:rsidRPr="00B406D7">
        <w:rPr>
          <w:rFonts w:ascii="Verdana" w:eastAsia="Times New Roman" w:hAnsi="Verdana" w:cs="Arial"/>
          <w:b/>
          <w:bCs/>
          <w:color w:val="000000"/>
          <w:lang w:val="es-CO" w:eastAsia="es-ES"/>
        </w:rPr>
        <w:t>(</w:t>
      </w:r>
      <w:r w:rsidR="00356EE7" w:rsidRPr="00B406D7">
        <w:rPr>
          <w:rFonts w:ascii="Verdana" w:eastAsia="Times New Roman" w:hAnsi="Verdana" w:cs="Arial"/>
          <w:b/>
          <w:bCs/>
          <w:color w:val="000000"/>
          <w:lang w:val="es-CO" w:eastAsia="es-ES"/>
        </w:rPr>
        <w:t>PMTI</w:t>
      </w:r>
      <w:r w:rsidR="00E846DE" w:rsidRPr="00B406D7">
        <w:rPr>
          <w:rFonts w:ascii="Verdana" w:eastAsia="Times New Roman" w:hAnsi="Verdana" w:cs="Arial"/>
          <w:b/>
          <w:bCs/>
          <w:color w:val="000000"/>
          <w:lang w:val="es-CO" w:eastAsia="es-ES"/>
        </w:rPr>
        <w:t>)</w:t>
      </w:r>
      <w:r w:rsidR="00356EE7" w:rsidRPr="00B406D7">
        <w:rPr>
          <w:rFonts w:ascii="Verdana" w:eastAsia="Times New Roman" w:hAnsi="Verdana" w:cs="Arial"/>
          <w:b/>
          <w:bCs/>
          <w:color w:val="000000"/>
          <w:lang w:val="es-CO" w:eastAsia="es-ES"/>
        </w:rPr>
        <w:t xml:space="preserve"> 2021-2051</w:t>
      </w:r>
    </w:p>
    <w:p w14:paraId="038BE3AD" w14:textId="77777777" w:rsidR="00C97CEC" w:rsidRPr="00B406D7" w:rsidRDefault="00C97CEC" w:rsidP="00B24D6C">
      <w:pPr>
        <w:spacing w:after="0" w:line="240" w:lineRule="auto"/>
        <w:ind w:right="51"/>
        <w:jc w:val="both"/>
        <w:rPr>
          <w:rFonts w:ascii="Verdana" w:eastAsia="Times New Roman" w:hAnsi="Verdana" w:cs="Arial"/>
          <w:color w:val="000000"/>
          <w:lang w:val="es-CO" w:eastAsia="es-ES"/>
        </w:rPr>
      </w:pPr>
    </w:p>
    <w:p w14:paraId="0E9D3695" w14:textId="606D541C" w:rsidR="00D07F39" w:rsidRPr="00B406D7" w:rsidRDefault="00211770"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El Plan Maestro de Transporte Intermodal </w:t>
      </w:r>
      <w:r w:rsidR="00634EA7" w:rsidRPr="00B406D7">
        <w:rPr>
          <w:rFonts w:ascii="Verdana" w:eastAsia="Times New Roman" w:hAnsi="Verdana" w:cs="Arial"/>
          <w:color w:val="000000"/>
          <w:lang w:val="es-CO" w:eastAsia="es-ES"/>
        </w:rPr>
        <w:t>(PMTI) 2021-2051, es u</w:t>
      </w:r>
      <w:r w:rsidR="00766AD6" w:rsidRPr="00B406D7">
        <w:rPr>
          <w:rFonts w:ascii="Verdana" w:eastAsia="Times New Roman" w:hAnsi="Verdana" w:cs="Arial"/>
          <w:color w:val="000000"/>
          <w:lang w:val="es-CO" w:eastAsia="es-ES"/>
        </w:rPr>
        <w:t xml:space="preserve">n instrumento de planeación del sector transporte, </w:t>
      </w:r>
      <w:r w:rsidR="00024411" w:rsidRPr="00B406D7">
        <w:rPr>
          <w:rFonts w:ascii="Verdana" w:eastAsia="Times New Roman" w:hAnsi="Verdana" w:cs="Arial"/>
          <w:color w:val="000000"/>
          <w:lang w:val="es-CO" w:eastAsia="es-ES"/>
        </w:rPr>
        <w:t xml:space="preserve">para organizar en </w:t>
      </w:r>
      <w:r w:rsidR="00A6479C" w:rsidRPr="00B406D7">
        <w:rPr>
          <w:rFonts w:ascii="Verdana" w:eastAsia="Times New Roman" w:hAnsi="Verdana" w:cs="Arial"/>
          <w:color w:val="000000"/>
          <w:lang w:val="es-CO" w:eastAsia="es-ES"/>
        </w:rPr>
        <w:t>forma</w:t>
      </w:r>
      <w:r w:rsidR="00024411" w:rsidRPr="00B406D7">
        <w:rPr>
          <w:rFonts w:ascii="Verdana" w:eastAsia="Times New Roman" w:hAnsi="Verdana" w:cs="Arial"/>
          <w:color w:val="000000"/>
          <w:lang w:val="es-CO" w:eastAsia="es-ES"/>
        </w:rPr>
        <w:t xml:space="preserve"> eficiente y estratégica el crecimiento del país a través de </w:t>
      </w:r>
      <w:r w:rsidR="006C2B3E" w:rsidRPr="00B406D7">
        <w:rPr>
          <w:rFonts w:ascii="Verdana" w:eastAsia="Times New Roman" w:hAnsi="Verdana" w:cs="Arial"/>
          <w:color w:val="000000"/>
          <w:lang w:val="es-CO" w:eastAsia="es-ES"/>
        </w:rPr>
        <w:t xml:space="preserve">una red de infraestructura que logre la conectividad de las ciudades, </w:t>
      </w:r>
      <w:r w:rsidR="0002305F" w:rsidRPr="00B406D7">
        <w:rPr>
          <w:rFonts w:ascii="Verdana" w:eastAsia="Times New Roman" w:hAnsi="Verdana" w:cs="Arial"/>
          <w:color w:val="000000"/>
          <w:lang w:val="es-CO" w:eastAsia="es-ES"/>
        </w:rPr>
        <w:t xml:space="preserve">regiones, fronteras y puertos, priorizando los proyectos que generen mayor impacto para la economía, la reducción de brechas regionales </w:t>
      </w:r>
      <w:r w:rsidR="00A6479C" w:rsidRPr="00B406D7">
        <w:rPr>
          <w:rFonts w:ascii="Verdana" w:eastAsia="Times New Roman" w:hAnsi="Verdana" w:cs="Arial"/>
          <w:color w:val="000000"/>
          <w:lang w:val="es-CO" w:eastAsia="es-ES"/>
        </w:rPr>
        <w:t xml:space="preserve">y el mayor bienestar de la población. </w:t>
      </w:r>
      <w:r w:rsidR="00634EA7" w:rsidRPr="00B406D7">
        <w:rPr>
          <w:rFonts w:ascii="Verdana" w:eastAsia="Times New Roman" w:hAnsi="Verdana" w:cs="Arial"/>
          <w:color w:val="000000"/>
          <w:lang w:val="es-CO" w:eastAsia="es-ES"/>
        </w:rPr>
        <w:t xml:space="preserve"> </w:t>
      </w:r>
    </w:p>
    <w:p w14:paraId="13263AA4" w14:textId="77777777" w:rsidR="001F67B8" w:rsidRPr="00B406D7" w:rsidRDefault="001F67B8" w:rsidP="00B24D6C">
      <w:pPr>
        <w:spacing w:after="0" w:line="240" w:lineRule="auto"/>
        <w:ind w:right="51"/>
        <w:jc w:val="both"/>
        <w:rPr>
          <w:rFonts w:ascii="Verdana" w:eastAsia="Times New Roman" w:hAnsi="Verdana" w:cs="Arial"/>
          <w:color w:val="000000"/>
          <w:lang w:val="es-CO" w:eastAsia="es-ES"/>
        </w:rPr>
      </w:pPr>
    </w:p>
    <w:p w14:paraId="101227BE" w14:textId="21A169A5" w:rsidR="001F67B8" w:rsidRPr="00B406D7" w:rsidRDefault="001F67B8"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w:t>
      </w:r>
      <w:r w:rsidR="002311B7" w:rsidRPr="00B406D7">
        <w:rPr>
          <w:rFonts w:ascii="Verdana" w:eastAsia="Times New Roman" w:hAnsi="Verdana" w:cs="Arial"/>
          <w:color w:val="000000"/>
          <w:lang w:val="es-CO" w:eastAsia="es-ES"/>
        </w:rPr>
        <w:t xml:space="preserve">l PMTI es un compromiso del Estado </w:t>
      </w:r>
      <w:r w:rsidR="00711B53" w:rsidRPr="00B406D7">
        <w:rPr>
          <w:rFonts w:ascii="Verdana" w:eastAsia="Times New Roman" w:hAnsi="Verdana" w:cs="Arial"/>
          <w:color w:val="000000"/>
          <w:lang w:val="es-CO" w:eastAsia="es-ES"/>
        </w:rPr>
        <w:t xml:space="preserve">colombiano, que constituye una hoja de ruta a 30 años de los proyectos de infraestructura </w:t>
      </w:r>
      <w:r w:rsidR="00C0668C" w:rsidRPr="00B406D7">
        <w:rPr>
          <w:rFonts w:ascii="Verdana" w:eastAsia="Times New Roman" w:hAnsi="Verdana" w:cs="Arial"/>
          <w:color w:val="000000"/>
          <w:lang w:val="es-CO" w:eastAsia="es-ES"/>
        </w:rPr>
        <w:t xml:space="preserve">intermodal más importantes del país. </w:t>
      </w:r>
      <w:r w:rsidR="003D0AE7" w:rsidRPr="00B406D7">
        <w:rPr>
          <w:rFonts w:ascii="Verdana" w:eastAsia="Times New Roman" w:hAnsi="Verdana" w:cs="Arial"/>
          <w:color w:val="000000"/>
          <w:lang w:val="es-CO" w:eastAsia="es-ES"/>
        </w:rPr>
        <w:t>P</w:t>
      </w:r>
      <w:r w:rsidR="00DB6B09" w:rsidRPr="00B406D7">
        <w:rPr>
          <w:rFonts w:ascii="Verdana" w:eastAsia="Times New Roman" w:hAnsi="Verdana" w:cs="Arial"/>
          <w:color w:val="000000"/>
          <w:lang w:val="es-CO" w:eastAsia="es-ES"/>
        </w:rPr>
        <w:t>ropende por el crecimiento del país a tra</w:t>
      </w:r>
      <w:r w:rsidR="008B5296" w:rsidRPr="00B406D7">
        <w:rPr>
          <w:rFonts w:ascii="Verdana" w:eastAsia="Times New Roman" w:hAnsi="Verdana" w:cs="Arial"/>
          <w:color w:val="000000"/>
          <w:lang w:val="es-CO" w:eastAsia="es-ES"/>
        </w:rPr>
        <w:t xml:space="preserve">vés de una red de infraestructura de transporte, </w:t>
      </w:r>
      <w:r w:rsidR="00343E18" w:rsidRPr="00B406D7">
        <w:rPr>
          <w:rFonts w:ascii="Verdana" w:eastAsia="Times New Roman" w:hAnsi="Verdana" w:cs="Arial"/>
          <w:color w:val="000000"/>
          <w:lang w:val="es-CO" w:eastAsia="es-ES"/>
        </w:rPr>
        <w:t xml:space="preserve">priorizando los proyectos que mayor impacto nacional tendrán para la economía y el bienestar social, </w:t>
      </w:r>
      <w:r w:rsidR="00154275" w:rsidRPr="00B406D7">
        <w:rPr>
          <w:rFonts w:ascii="Verdana" w:eastAsia="Times New Roman" w:hAnsi="Verdana" w:cs="Arial"/>
          <w:color w:val="000000"/>
          <w:lang w:val="es-CO" w:eastAsia="es-ES"/>
        </w:rPr>
        <w:t xml:space="preserve">y complementando y perfeccionando los corredores más importantes del país. </w:t>
      </w:r>
    </w:p>
    <w:p w14:paraId="566A56DF" w14:textId="77777777" w:rsidR="001F67B8" w:rsidRPr="00B406D7" w:rsidRDefault="001F67B8" w:rsidP="00B24D6C">
      <w:pPr>
        <w:spacing w:after="0" w:line="240" w:lineRule="auto"/>
        <w:ind w:right="51"/>
        <w:jc w:val="both"/>
        <w:rPr>
          <w:rFonts w:ascii="Verdana" w:eastAsia="Times New Roman" w:hAnsi="Verdana" w:cs="Arial"/>
          <w:color w:val="000000"/>
          <w:lang w:val="es-CO" w:eastAsia="es-ES"/>
        </w:rPr>
      </w:pPr>
    </w:p>
    <w:p w14:paraId="60209F12" w14:textId="5BF61080" w:rsidR="001F67B8" w:rsidRPr="00B406D7" w:rsidRDefault="00842080"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Este Plan se ha actualizado, enfatizando en la </w:t>
      </w:r>
      <w:r w:rsidR="004274CC" w:rsidRPr="00B406D7">
        <w:rPr>
          <w:rFonts w:ascii="Verdana" w:eastAsia="Times New Roman" w:hAnsi="Verdana" w:cs="Arial"/>
          <w:color w:val="000000"/>
          <w:lang w:val="es-CO" w:eastAsia="es-ES"/>
        </w:rPr>
        <w:t xml:space="preserve">priorización de proyectos </w:t>
      </w:r>
      <w:r w:rsidR="00962F08" w:rsidRPr="00B406D7">
        <w:rPr>
          <w:rFonts w:ascii="Verdana" w:eastAsia="Times New Roman" w:hAnsi="Verdana" w:cs="Arial"/>
          <w:color w:val="000000"/>
          <w:lang w:val="es-CO" w:eastAsia="es-ES"/>
        </w:rPr>
        <w:t xml:space="preserve">que mejoran la conectividad y accesibilidad de los territorios y poblaciones </w:t>
      </w:r>
      <w:r w:rsidR="00F64C04" w:rsidRPr="00B406D7">
        <w:rPr>
          <w:rFonts w:ascii="Verdana" w:eastAsia="Times New Roman" w:hAnsi="Verdana" w:cs="Arial"/>
          <w:color w:val="000000"/>
          <w:lang w:val="es-CO" w:eastAsia="es-ES"/>
        </w:rPr>
        <w:t xml:space="preserve">menos atendidos por el sistema de transporte. También, </w:t>
      </w:r>
      <w:r w:rsidR="00372023" w:rsidRPr="00B406D7">
        <w:rPr>
          <w:rFonts w:ascii="Verdana" w:eastAsia="Times New Roman" w:hAnsi="Verdana" w:cs="Arial"/>
          <w:color w:val="000000"/>
          <w:lang w:val="es-CO" w:eastAsia="es-ES"/>
        </w:rPr>
        <w:t xml:space="preserve">inserta aspectos relativos a la transición energética en pro de </w:t>
      </w:r>
      <w:r w:rsidR="00F319D5" w:rsidRPr="00B406D7">
        <w:rPr>
          <w:rFonts w:ascii="Verdana" w:eastAsia="Times New Roman" w:hAnsi="Verdana" w:cs="Arial"/>
          <w:color w:val="000000"/>
          <w:lang w:val="es-CO" w:eastAsia="es-ES"/>
        </w:rPr>
        <w:t xml:space="preserve">que exista menor </w:t>
      </w:r>
      <w:r w:rsidR="00E325A0" w:rsidRPr="00B406D7">
        <w:rPr>
          <w:rFonts w:ascii="Verdana" w:eastAsia="Times New Roman" w:hAnsi="Verdana" w:cs="Arial"/>
          <w:color w:val="000000"/>
          <w:lang w:val="es-CO" w:eastAsia="es-ES"/>
        </w:rPr>
        <w:t xml:space="preserve">contaminación y se reduzca el impacto sobre el medio ambiente. </w:t>
      </w:r>
    </w:p>
    <w:p w14:paraId="0D4A908F" w14:textId="77777777" w:rsidR="00047D9F" w:rsidRPr="00B406D7" w:rsidRDefault="00047D9F" w:rsidP="00B24D6C">
      <w:pPr>
        <w:spacing w:after="0" w:line="240" w:lineRule="auto"/>
        <w:ind w:right="51"/>
        <w:jc w:val="both"/>
        <w:rPr>
          <w:rFonts w:ascii="Verdana" w:eastAsia="Times New Roman" w:hAnsi="Verdana" w:cs="Arial"/>
          <w:color w:val="000000"/>
          <w:lang w:val="es-CO" w:eastAsia="es-ES"/>
        </w:rPr>
      </w:pPr>
    </w:p>
    <w:p w14:paraId="73D6E4AA" w14:textId="622ECF86" w:rsidR="00047D9F" w:rsidRPr="00B406D7" w:rsidRDefault="0043080D"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En el sector de infraestructura de transporte, las carreteras continúan siendo el may</w:t>
      </w:r>
      <w:r w:rsidR="00282ED9" w:rsidRPr="00B406D7">
        <w:rPr>
          <w:rFonts w:ascii="Verdana" w:eastAsia="Times New Roman" w:hAnsi="Verdana" w:cs="Arial"/>
          <w:color w:val="000000"/>
          <w:lang w:val="es-CO" w:eastAsia="es-ES"/>
        </w:rPr>
        <w:t>or receptor de la inversión pública</w:t>
      </w:r>
      <w:r w:rsidR="00F62201" w:rsidRPr="00B406D7">
        <w:rPr>
          <w:rFonts w:ascii="Verdana" w:eastAsia="Times New Roman" w:hAnsi="Verdana" w:cs="Arial"/>
          <w:color w:val="000000"/>
          <w:lang w:val="es-CO" w:eastAsia="es-ES"/>
        </w:rPr>
        <w:t>.</w:t>
      </w:r>
      <w:r w:rsidR="00C577F2" w:rsidRPr="00B406D7">
        <w:rPr>
          <w:rFonts w:ascii="Verdana" w:eastAsia="Times New Roman" w:hAnsi="Verdana" w:cs="Arial"/>
          <w:color w:val="000000"/>
          <w:lang w:val="es-CO" w:eastAsia="es-ES"/>
        </w:rPr>
        <w:t xml:space="preserve"> Sin embargo, aeropuertos, </w:t>
      </w:r>
      <w:r w:rsidR="00064CF7" w:rsidRPr="00B406D7">
        <w:rPr>
          <w:rFonts w:ascii="Verdana" w:eastAsia="Times New Roman" w:hAnsi="Verdana" w:cs="Arial"/>
          <w:color w:val="000000"/>
          <w:lang w:val="es-CO" w:eastAsia="es-ES"/>
        </w:rPr>
        <w:t xml:space="preserve">ferrocarriles, </w:t>
      </w:r>
      <w:r w:rsidR="006C0965" w:rsidRPr="00B406D7">
        <w:rPr>
          <w:rFonts w:ascii="Verdana" w:eastAsia="Times New Roman" w:hAnsi="Verdana" w:cs="Arial"/>
          <w:color w:val="000000"/>
          <w:lang w:val="es-CO" w:eastAsia="es-ES"/>
        </w:rPr>
        <w:t>puertos y modos fluviales también son tenidos en cuenta en el Plan</w:t>
      </w:r>
      <w:r w:rsidR="00CD5483" w:rsidRPr="00B406D7">
        <w:rPr>
          <w:rFonts w:ascii="Verdana" w:eastAsia="Times New Roman" w:hAnsi="Verdana" w:cs="Arial"/>
          <w:color w:val="000000"/>
          <w:lang w:val="es-CO" w:eastAsia="es-ES"/>
        </w:rPr>
        <w:t xml:space="preserve">. </w:t>
      </w:r>
      <w:r w:rsidR="00E56898" w:rsidRPr="00B406D7">
        <w:rPr>
          <w:rFonts w:ascii="Verdana" w:eastAsia="Times New Roman" w:hAnsi="Verdana" w:cs="Arial"/>
          <w:color w:val="000000"/>
          <w:lang w:val="es-CO" w:eastAsia="es-ES"/>
        </w:rPr>
        <w:t>Antes de la actualización, esto es, cuando el Plan estaba proyectado hasta el año 2035</w:t>
      </w:r>
      <w:r w:rsidR="00CD5483" w:rsidRPr="00B406D7">
        <w:rPr>
          <w:rFonts w:ascii="Verdana" w:eastAsia="Times New Roman" w:hAnsi="Verdana" w:cs="Arial"/>
          <w:color w:val="000000"/>
          <w:lang w:val="es-CO" w:eastAsia="es-ES"/>
        </w:rPr>
        <w:t xml:space="preserve">, </w:t>
      </w:r>
      <w:r w:rsidR="008A19F4" w:rsidRPr="00B406D7">
        <w:rPr>
          <w:rFonts w:ascii="Verdana" w:eastAsia="Times New Roman" w:hAnsi="Verdana" w:cs="Arial"/>
          <w:color w:val="000000"/>
          <w:lang w:val="es-CO" w:eastAsia="es-ES"/>
        </w:rPr>
        <w:t>e</w:t>
      </w:r>
      <w:r w:rsidR="003E24A0" w:rsidRPr="00B406D7">
        <w:rPr>
          <w:rFonts w:ascii="Verdana" w:eastAsia="Times New Roman" w:hAnsi="Verdana" w:cs="Arial"/>
          <w:color w:val="000000"/>
          <w:lang w:val="es-CO" w:eastAsia="es-ES"/>
        </w:rPr>
        <w:t xml:space="preserve">l porcentaje de los tramos en mal estado </w:t>
      </w:r>
      <w:r w:rsidR="00E824E6" w:rsidRPr="00B406D7">
        <w:rPr>
          <w:rFonts w:ascii="Verdana" w:eastAsia="Times New Roman" w:hAnsi="Verdana" w:cs="Arial"/>
          <w:color w:val="000000"/>
          <w:lang w:val="es-CO" w:eastAsia="es-ES"/>
        </w:rPr>
        <w:t>de los proyectos del PMTI</w:t>
      </w:r>
      <w:r w:rsidR="00FB4E24" w:rsidRPr="00B406D7">
        <w:rPr>
          <w:rFonts w:ascii="Verdana" w:eastAsia="Times New Roman" w:hAnsi="Verdana" w:cs="Arial"/>
          <w:color w:val="000000"/>
          <w:lang w:val="es-CO" w:eastAsia="es-ES"/>
        </w:rPr>
        <w:t xml:space="preserve"> con cohorte a 2021</w:t>
      </w:r>
      <w:r w:rsidR="00E824E6" w:rsidRPr="00B406D7">
        <w:rPr>
          <w:rFonts w:ascii="Verdana" w:eastAsia="Times New Roman" w:hAnsi="Verdana" w:cs="Arial"/>
          <w:color w:val="000000"/>
          <w:lang w:val="es-CO" w:eastAsia="es-ES"/>
        </w:rPr>
        <w:t xml:space="preserve"> respecto a la cantidad de proyectos fue </w:t>
      </w:r>
      <w:r w:rsidR="00E77A3A" w:rsidRPr="00B406D7">
        <w:rPr>
          <w:rFonts w:ascii="Verdana" w:eastAsia="Times New Roman" w:hAnsi="Verdana" w:cs="Arial"/>
          <w:color w:val="000000"/>
          <w:lang w:val="es-CO" w:eastAsia="es-ES"/>
        </w:rPr>
        <w:t>el siguiente</w:t>
      </w:r>
      <w:r w:rsidR="00834725" w:rsidRPr="00B406D7">
        <w:rPr>
          <w:rFonts w:ascii="Verdana" w:eastAsia="Times New Roman" w:hAnsi="Verdana" w:cs="Arial"/>
          <w:color w:val="000000"/>
          <w:lang w:val="es-CO" w:eastAsia="es-ES"/>
        </w:rPr>
        <w:t xml:space="preserve"> (en consideración al modo de transporte)</w:t>
      </w:r>
      <w:r w:rsidR="00E77A3A" w:rsidRPr="00B406D7">
        <w:rPr>
          <w:rFonts w:ascii="Verdana" w:eastAsia="Times New Roman" w:hAnsi="Verdana" w:cs="Arial"/>
          <w:color w:val="000000"/>
          <w:lang w:val="es-CO" w:eastAsia="es-ES"/>
        </w:rPr>
        <w:t xml:space="preserve">: </w:t>
      </w:r>
      <w:r w:rsidR="00460156" w:rsidRPr="00B406D7">
        <w:rPr>
          <w:rFonts w:ascii="Verdana" w:eastAsia="Times New Roman" w:hAnsi="Verdana" w:cs="Arial"/>
          <w:color w:val="000000"/>
          <w:lang w:val="es-CO" w:eastAsia="es-ES"/>
        </w:rPr>
        <w:t xml:space="preserve">a) aéreo, 24%; b) </w:t>
      </w:r>
      <w:r w:rsidR="00834725" w:rsidRPr="00B406D7">
        <w:rPr>
          <w:rFonts w:ascii="Verdana" w:eastAsia="Times New Roman" w:hAnsi="Verdana" w:cs="Arial"/>
          <w:color w:val="000000"/>
          <w:lang w:val="es-CO" w:eastAsia="es-ES"/>
        </w:rPr>
        <w:t xml:space="preserve">férreo, 60%; c) </w:t>
      </w:r>
      <w:r w:rsidR="00BB3234" w:rsidRPr="00B406D7">
        <w:rPr>
          <w:rFonts w:ascii="Verdana" w:eastAsia="Times New Roman" w:hAnsi="Verdana" w:cs="Arial"/>
          <w:color w:val="000000"/>
          <w:lang w:val="es-CO" w:eastAsia="es-ES"/>
        </w:rPr>
        <w:t xml:space="preserve">fluvial, 82%; d) marítimo, 67%, y </w:t>
      </w:r>
      <w:proofErr w:type="spellStart"/>
      <w:r w:rsidR="00576AA3" w:rsidRPr="00B406D7">
        <w:rPr>
          <w:rFonts w:ascii="Verdana" w:eastAsia="Times New Roman" w:hAnsi="Verdana" w:cs="Arial"/>
          <w:color w:val="000000"/>
          <w:lang w:val="es-CO" w:eastAsia="es-ES"/>
        </w:rPr>
        <w:t>e</w:t>
      </w:r>
      <w:proofErr w:type="spellEnd"/>
      <w:r w:rsidR="00576AA3" w:rsidRPr="00B406D7">
        <w:rPr>
          <w:rFonts w:ascii="Verdana" w:eastAsia="Times New Roman" w:hAnsi="Verdana" w:cs="Arial"/>
          <w:color w:val="000000"/>
          <w:lang w:val="es-CO" w:eastAsia="es-ES"/>
        </w:rPr>
        <w:t xml:space="preserve">) </w:t>
      </w:r>
      <w:r w:rsidR="00BB3234" w:rsidRPr="00B406D7">
        <w:rPr>
          <w:rFonts w:ascii="Verdana" w:eastAsia="Times New Roman" w:hAnsi="Verdana" w:cs="Arial"/>
          <w:color w:val="000000"/>
          <w:lang w:val="es-CO" w:eastAsia="es-ES"/>
        </w:rPr>
        <w:t xml:space="preserve">carretero, </w:t>
      </w:r>
      <w:r w:rsidR="00576AA3" w:rsidRPr="00B406D7">
        <w:rPr>
          <w:rFonts w:ascii="Verdana" w:eastAsia="Times New Roman" w:hAnsi="Verdana" w:cs="Arial"/>
          <w:color w:val="000000"/>
          <w:lang w:val="es-CO" w:eastAsia="es-ES"/>
        </w:rPr>
        <w:t xml:space="preserve">37%. Sin embargo, el actual Plan </w:t>
      </w:r>
      <w:r w:rsidR="00EA3C3A" w:rsidRPr="00B406D7">
        <w:rPr>
          <w:rFonts w:ascii="Verdana" w:eastAsia="Times New Roman" w:hAnsi="Verdana" w:cs="Arial"/>
          <w:color w:val="000000"/>
          <w:lang w:val="es-CO" w:eastAsia="es-ES"/>
        </w:rPr>
        <w:t xml:space="preserve">propone una nueva red básica, </w:t>
      </w:r>
      <w:r w:rsidR="00F27453" w:rsidRPr="00B406D7">
        <w:rPr>
          <w:rFonts w:ascii="Verdana" w:eastAsia="Times New Roman" w:hAnsi="Verdana" w:cs="Arial"/>
          <w:color w:val="000000"/>
          <w:lang w:val="es-CO" w:eastAsia="es-ES"/>
        </w:rPr>
        <w:t xml:space="preserve">teniendo en cuenta los avances logrados hasta el momento, pero también las nuevas prioridades </w:t>
      </w:r>
      <w:r w:rsidR="001E5E77" w:rsidRPr="00B406D7">
        <w:rPr>
          <w:rFonts w:ascii="Verdana" w:eastAsia="Times New Roman" w:hAnsi="Verdana" w:cs="Arial"/>
          <w:color w:val="000000"/>
          <w:lang w:val="es-CO" w:eastAsia="es-ES"/>
        </w:rPr>
        <w:t xml:space="preserve">en términos </w:t>
      </w:r>
      <w:r w:rsidR="001E5E77" w:rsidRPr="00B406D7">
        <w:rPr>
          <w:rFonts w:ascii="Verdana" w:eastAsia="Times New Roman" w:hAnsi="Verdana" w:cs="Arial"/>
          <w:color w:val="000000"/>
          <w:lang w:val="es-CO" w:eastAsia="es-ES"/>
        </w:rPr>
        <w:lastRenderedPageBreak/>
        <w:t xml:space="preserve">de conectividad, equidad y medio ambiente, </w:t>
      </w:r>
      <w:r w:rsidR="00B059E2" w:rsidRPr="00B406D7">
        <w:rPr>
          <w:rFonts w:ascii="Verdana" w:eastAsia="Times New Roman" w:hAnsi="Verdana" w:cs="Arial"/>
          <w:color w:val="000000"/>
          <w:lang w:val="es-CO" w:eastAsia="es-ES"/>
        </w:rPr>
        <w:t xml:space="preserve">con el fin de avanzar en la convergencia entre regiones y </w:t>
      </w:r>
      <w:r w:rsidR="00D97D10" w:rsidRPr="00B406D7">
        <w:rPr>
          <w:rFonts w:ascii="Verdana" w:eastAsia="Times New Roman" w:hAnsi="Verdana" w:cs="Arial"/>
          <w:color w:val="000000"/>
          <w:lang w:val="es-CO" w:eastAsia="es-ES"/>
        </w:rPr>
        <w:t xml:space="preserve">mejorar la productividad de </w:t>
      </w:r>
      <w:r w:rsidR="009B7E8B" w:rsidRPr="00B406D7">
        <w:rPr>
          <w:rFonts w:ascii="Verdana" w:eastAsia="Times New Roman" w:hAnsi="Verdana" w:cs="Arial"/>
          <w:color w:val="000000"/>
          <w:lang w:val="es-CO" w:eastAsia="es-ES"/>
        </w:rPr>
        <w:t xml:space="preserve">sectores económicos a partir de la reducción de costos logísticos y la eficiencia energética. </w:t>
      </w:r>
    </w:p>
    <w:p w14:paraId="7086DA1D" w14:textId="77777777" w:rsidR="00E40ED5" w:rsidRPr="00B406D7" w:rsidRDefault="00E40ED5" w:rsidP="00B24D6C">
      <w:pPr>
        <w:spacing w:after="0" w:line="240" w:lineRule="auto"/>
        <w:ind w:right="51"/>
        <w:jc w:val="both"/>
        <w:rPr>
          <w:rFonts w:ascii="Verdana" w:eastAsia="Times New Roman" w:hAnsi="Verdana" w:cs="Arial"/>
          <w:color w:val="000000"/>
          <w:lang w:val="es-CO" w:eastAsia="es-ES"/>
        </w:rPr>
      </w:pPr>
    </w:p>
    <w:p w14:paraId="11F78ACF" w14:textId="0EE3C3C7" w:rsidR="00E40ED5" w:rsidRPr="00B406D7" w:rsidRDefault="00E40ED5"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La red básica propuesta en el PMTI 2021-2051 es la siguient</w:t>
      </w:r>
      <w:r w:rsidR="00D243DC" w:rsidRPr="00B406D7">
        <w:rPr>
          <w:rFonts w:ascii="Verdana" w:eastAsia="Times New Roman" w:hAnsi="Verdana" w:cs="Arial"/>
          <w:color w:val="000000"/>
          <w:lang w:val="es-CO" w:eastAsia="es-ES"/>
        </w:rPr>
        <w:t>e</w:t>
      </w:r>
      <w:r w:rsidR="00D243DC" w:rsidRPr="00B406D7">
        <w:rPr>
          <w:rStyle w:val="Refdenotaalpie"/>
          <w:rFonts w:ascii="Verdana" w:eastAsia="Times New Roman" w:hAnsi="Verdana" w:cs="Arial"/>
          <w:color w:val="000000"/>
          <w:lang w:val="es-CO" w:eastAsia="es-ES"/>
        </w:rPr>
        <w:footnoteReference w:id="5"/>
      </w:r>
      <w:r w:rsidR="00D243DC" w:rsidRPr="00B406D7">
        <w:rPr>
          <w:rFonts w:ascii="Verdana" w:eastAsia="Times New Roman" w:hAnsi="Verdana" w:cs="Arial"/>
          <w:color w:val="000000"/>
          <w:lang w:val="es-CO" w:eastAsia="es-ES"/>
        </w:rPr>
        <w:t>:</w:t>
      </w:r>
    </w:p>
    <w:p w14:paraId="0E8544B3" w14:textId="77777777" w:rsidR="00E40ED5" w:rsidRPr="00B406D7" w:rsidRDefault="00E40ED5" w:rsidP="00B24D6C">
      <w:pPr>
        <w:spacing w:after="0" w:line="240" w:lineRule="auto"/>
        <w:ind w:right="51"/>
        <w:jc w:val="both"/>
        <w:rPr>
          <w:rFonts w:ascii="Verdana" w:eastAsia="Times New Roman" w:hAnsi="Verdana" w:cs="Arial"/>
          <w:color w:val="000000"/>
          <w:lang w:val="es-CO" w:eastAsia="es-ES"/>
        </w:rPr>
      </w:pPr>
    </w:p>
    <w:p w14:paraId="6FD0BF2A" w14:textId="3410402F" w:rsidR="001F67B8" w:rsidRPr="00B406D7" w:rsidRDefault="00130F9D" w:rsidP="00081F52">
      <w:pPr>
        <w:spacing w:after="0" w:line="240" w:lineRule="auto"/>
        <w:ind w:right="51"/>
        <w:jc w:val="center"/>
        <w:rPr>
          <w:rFonts w:ascii="Verdana" w:eastAsia="Times New Roman" w:hAnsi="Verdana" w:cs="Arial"/>
          <w:color w:val="000000"/>
          <w:lang w:val="es-CO" w:eastAsia="es-ES"/>
        </w:rPr>
      </w:pPr>
      <w:r w:rsidRPr="00B406D7">
        <w:rPr>
          <w:rFonts w:ascii="Verdana" w:eastAsia="Times New Roman" w:hAnsi="Verdana" w:cs="Arial"/>
          <w:noProof/>
          <w:color w:val="000000"/>
          <w:lang w:val="es-CO" w:eastAsia="es-ES"/>
        </w:rPr>
        <w:drawing>
          <wp:inline distT="0" distB="0" distL="0" distR="0" wp14:anchorId="4B85A08D" wp14:editId="71628811">
            <wp:extent cx="4796262" cy="5781675"/>
            <wp:effectExtent l="0" t="0" r="4445" b="0"/>
            <wp:docPr id="1791379382"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379382" name="Imagen 1" descr="Mapa&#10;&#10;Descripción generada automáticamente"/>
                    <pic:cNvPicPr/>
                  </pic:nvPicPr>
                  <pic:blipFill>
                    <a:blip r:embed="rId12">
                      <a:extLst>
                        <a:ext uri="{28A0092B-C50C-407E-A947-70E740481C1C}">
                          <a14:useLocalDpi xmlns:a14="http://schemas.microsoft.com/office/drawing/2010/main" val="0"/>
                        </a:ext>
                      </a:extLst>
                    </a:blip>
                    <a:stretch>
                      <a:fillRect/>
                    </a:stretch>
                  </pic:blipFill>
                  <pic:spPr>
                    <a:xfrm>
                      <a:off x="0" y="0"/>
                      <a:ext cx="4800301" cy="5786544"/>
                    </a:xfrm>
                    <a:prstGeom prst="rect">
                      <a:avLst/>
                    </a:prstGeom>
                  </pic:spPr>
                </pic:pic>
              </a:graphicData>
            </a:graphic>
          </wp:inline>
        </w:drawing>
      </w:r>
    </w:p>
    <w:p w14:paraId="1042DBA8" w14:textId="2AEB71AA" w:rsidR="007B09DA" w:rsidRPr="00B406D7" w:rsidRDefault="00121FBF"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lastRenderedPageBreak/>
        <w:t xml:space="preserve">De acuerdo con el Departamento Nacional de Planeación –DNP– y el Ministerio de Transporte, </w:t>
      </w:r>
      <w:r w:rsidR="00B851C7" w:rsidRPr="00B406D7">
        <w:rPr>
          <w:rFonts w:ascii="Verdana" w:eastAsia="Times New Roman" w:hAnsi="Verdana" w:cs="Arial"/>
          <w:color w:val="000000"/>
          <w:lang w:val="es-CO" w:eastAsia="es-ES"/>
        </w:rPr>
        <w:t>para desarrollar los proyectos que modernizarán e imp</w:t>
      </w:r>
      <w:r w:rsidR="00CE1699" w:rsidRPr="00B406D7">
        <w:rPr>
          <w:rFonts w:ascii="Verdana" w:eastAsia="Times New Roman" w:hAnsi="Verdana" w:cs="Arial"/>
          <w:color w:val="000000"/>
          <w:lang w:val="es-CO" w:eastAsia="es-ES"/>
        </w:rPr>
        <w:t xml:space="preserve">ulsarán la conectividad, competitividad y reindustrialización del país, se estiman </w:t>
      </w:r>
      <w:r w:rsidR="00B1502F" w:rsidRPr="00B406D7">
        <w:rPr>
          <w:rFonts w:ascii="Verdana" w:eastAsia="Times New Roman" w:hAnsi="Verdana" w:cs="Arial"/>
          <w:color w:val="000000"/>
          <w:lang w:val="es-CO" w:eastAsia="es-ES"/>
        </w:rPr>
        <w:t>inversiones pro cerca de $240 billones.</w:t>
      </w:r>
      <w:r w:rsidR="004C0DAD" w:rsidRPr="00B406D7">
        <w:rPr>
          <w:rFonts w:ascii="Verdana" w:eastAsia="Times New Roman" w:hAnsi="Verdana" w:cs="Arial"/>
          <w:color w:val="000000"/>
          <w:lang w:val="es-CO" w:eastAsia="es-ES"/>
        </w:rPr>
        <w:t xml:space="preserve"> La base de esto es una red de infraestructura intermodal y de servicios de transporte</w:t>
      </w:r>
      <w:r w:rsidR="00E04B99" w:rsidRPr="00B406D7">
        <w:rPr>
          <w:rFonts w:ascii="Verdana" w:eastAsia="Times New Roman" w:hAnsi="Verdana" w:cs="Arial"/>
          <w:color w:val="000000"/>
          <w:lang w:val="es-CO" w:eastAsia="es-ES"/>
        </w:rPr>
        <w:t xml:space="preserve">, con corredores férreos y fluviales articulados con la red de </w:t>
      </w:r>
      <w:r w:rsidR="00241F40" w:rsidRPr="00B406D7">
        <w:rPr>
          <w:rFonts w:ascii="Verdana" w:eastAsia="Times New Roman" w:hAnsi="Verdana" w:cs="Arial"/>
          <w:color w:val="000000"/>
          <w:lang w:val="es-CO" w:eastAsia="es-ES"/>
        </w:rPr>
        <w:t xml:space="preserve">carreteras a través de Infraestructuras Logísticas Especializadas (ILE). </w:t>
      </w:r>
    </w:p>
    <w:p w14:paraId="1FF01621" w14:textId="3165050F" w:rsidR="007B09DA" w:rsidRPr="00B406D7" w:rsidRDefault="007B09DA"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Existen</w:t>
      </w:r>
      <w:r w:rsidR="0059749E" w:rsidRPr="00B406D7">
        <w:rPr>
          <w:rFonts w:ascii="Verdana" w:eastAsia="Times New Roman" w:hAnsi="Verdana" w:cs="Arial"/>
          <w:color w:val="000000"/>
          <w:lang w:val="es-CO" w:eastAsia="es-ES"/>
        </w:rPr>
        <w:t xml:space="preserve"> así diversos proyectos priorizados</w:t>
      </w:r>
      <w:r w:rsidR="00591E19" w:rsidRPr="00B406D7">
        <w:rPr>
          <w:rFonts w:ascii="Verdana" w:eastAsia="Times New Roman" w:hAnsi="Verdana" w:cs="Arial"/>
          <w:color w:val="000000"/>
          <w:lang w:val="es-CO" w:eastAsia="es-ES"/>
        </w:rPr>
        <w:t xml:space="preserve"> atendiendo a cada uno de los modos de infraestructura de transporte, en </w:t>
      </w:r>
      <w:r w:rsidR="00B43DF2" w:rsidRPr="00B406D7">
        <w:rPr>
          <w:rFonts w:ascii="Verdana" w:eastAsia="Times New Roman" w:hAnsi="Verdana" w:cs="Arial"/>
          <w:color w:val="000000"/>
          <w:lang w:val="es-CO" w:eastAsia="es-ES"/>
        </w:rPr>
        <w:t xml:space="preserve">varias regiones del país. Por ejemplo, en el modo carretero, </w:t>
      </w:r>
      <w:r w:rsidR="0069786D" w:rsidRPr="00B406D7">
        <w:rPr>
          <w:rFonts w:ascii="Verdana" w:eastAsia="Times New Roman" w:hAnsi="Verdana" w:cs="Arial"/>
          <w:color w:val="000000"/>
          <w:lang w:val="es-CO" w:eastAsia="es-ES"/>
        </w:rPr>
        <w:t xml:space="preserve">se priorizaron varios proyectos en departamentos como La Guajira, Chocó, Boyacá, Santander, Norte de Santander, </w:t>
      </w:r>
      <w:r w:rsidR="005B29EF" w:rsidRPr="00B406D7">
        <w:rPr>
          <w:rFonts w:ascii="Verdana" w:eastAsia="Times New Roman" w:hAnsi="Verdana" w:cs="Arial"/>
          <w:color w:val="000000"/>
          <w:lang w:val="es-CO" w:eastAsia="es-ES"/>
        </w:rPr>
        <w:t>Cauca, Nariño, Caquetá, Meta, C</w:t>
      </w:r>
      <w:r w:rsidR="006002AE" w:rsidRPr="00B406D7">
        <w:rPr>
          <w:rFonts w:ascii="Verdana" w:eastAsia="Times New Roman" w:hAnsi="Verdana" w:cs="Arial"/>
          <w:color w:val="000000"/>
          <w:lang w:val="es-CO" w:eastAsia="es-ES"/>
        </w:rPr>
        <w:t xml:space="preserve">asanare, entre otros. También, algunas adecuaciones y ampliaciones en los aeropuertos El Dorado de Bogotá, </w:t>
      </w:r>
      <w:r w:rsidR="002F557C" w:rsidRPr="00B406D7">
        <w:rPr>
          <w:rFonts w:ascii="Verdana" w:eastAsia="Times New Roman" w:hAnsi="Verdana" w:cs="Arial"/>
          <w:color w:val="000000"/>
          <w:lang w:val="es-CO" w:eastAsia="es-ES"/>
        </w:rPr>
        <w:t xml:space="preserve">José María Córdoba de Medellín y Alfonso Bonilla Aragón de Cali. </w:t>
      </w:r>
      <w:r w:rsidR="006B6C5A" w:rsidRPr="00B406D7">
        <w:rPr>
          <w:rFonts w:ascii="Verdana" w:eastAsia="Times New Roman" w:hAnsi="Verdana" w:cs="Arial"/>
          <w:color w:val="000000"/>
          <w:lang w:val="es-CO" w:eastAsia="es-ES"/>
        </w:rPr>
        <w:t xml:space="preserve">De igual forma, varios corredores férreos y </w:t>
      </w:r>
      <w:r w:rsidR="00FD6473" w:rsidRPr="00B406D7">
        <w:rPr>
          <w:rFonts w:ascii="Verdana" w:eastAsia="Times New Roman" w:hAnsi="Verdana" w:cs="Arial"/>
          <w:color w:val="000000"/>
          <w:lang w:val="es-CO" w:eastAsia="es-ES"/>
        </w:rPr>
        <w:t>zonas portuarias de Buenaventura</w:t>
      </w:r>
      <w:r w:rsidR="00481F9D" w:rsidRPr="00B406D7">
        <w:rPr>
          <w:rFonts w:ascii="Verdana" w:eastAsia="Times New Roman" w:hAnsi="Verdana" w:cs="Arial"/>
          <w:color w:val="000000"/>
          <w:lang w:val="es-CO" w:eastAsia="es-ES"/>
        </w:rPr>
        <w:t xml:space="preserve"> y Barranquilla.</w:t>
      </w:r>
      <w:r w:rsidR="00797A0B" w:rsidRPr="00B406D7">
        <w:rPr>
          <w:rFonts w:ascii="Verdana" w:eastAsia="Times New Roman" w:hAnsi="Verdana" w:cs="Arial"/>
          <w:color w:val="000000"/>
          <w:lang w:val="es-CO" w:eastAsia="es-ES"/>
        </w:rPr>
        <w:t xml:space="preserve"> Esto por mencionar algunos proyectos de infraestructura de transporte</w:t>
      </w:r>
      <w:r w:rsidR="00D9362A" w:rsidRPr="00B406D7">
        <w:rPr>
          <w:rFonts w:ascii="Verdana" w:eastAsia="Times New Roman" w:hAnsi="Verdana" w:cs="Arial"/>
          <w:color w:val="000000"/>
          <w:lang w:val="es-CO" w:eastAsia="es-ES"/>
        </w:rPr>
        <w:t>.</w:t>
      </w:r>
    </w:p>
    <w:p w14:paraId="70AFB82B" w14:textId="77777777" w:rsidR="00016147" w:rsidRPr="00B406D7" w:rsidRDefault="00016147" w:rsidP="00B24D6C">
      <w:pPr>
        <w:spacing w:after="0" w:line="240" w:lineRule="auto"/>
        <w:ind w:right="51"/>
        <w:jc w:val="both"/>
        <w:rPr>
          <w:rFonts w:ascii="Verdana" w:eastAsia="Times New Roman" w:hAnsi="Verdana" w:cs="Arial"/>
          <w:color w:val="000000"/>
          <w:lang w:val="es-CO" w:eastAsia="es-ES"/>
        </w:rPr>
      </w:pPr>
    </w:p>
    <w:p w14:paraId="4E371367" w14:textId="7908E3F4" w:rsidR="00016147" w:rsidRPr="00B406D7" w:rsidRDefault="00016147" w:rsidP="00B24D6C">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El P</w:t>
      </w:r>
      <w:r w:rsidR="00C647F9" w:rsidRPr="00B406D7">
        <w:rPr>
          <w:rFonts w:ascii="Verdana" w:eastAsia="Times New Roman" w:hAnsi="Verdana" w:cs="Arial"/>
          <w:color w:val="000000"/>
          <w:lang w:val="es-CO" w:eastAsia="es-ES"/>
        </w:rPr>
        <w:t>MTI se basa</w:t>
      </w:r>
      <w:r w:rsidRPr="00B406D7">
        <w:rPr>
          <w:rFonts w:ascii="Verdana" w:eastAsia="Times New Roman" w:hAnsi="Verdana" w:cs="Arial"/>
          <w:color w:val="000000"/>
          <w:lang w:val="es-CO" w:eastAsia="es-ES"/>
        </w:rPr>
        <w:t>, entre otras, en la eficiencia</w:t>
      </w:r>
      <w:r w:rsidR="009A5E74" w:rsidRPr="00B406D7">
        <w:rPr>
          <w:rFonts w:ascii="Verdana" w:eastAsia="Times New Roman" w:hAnsi="Verdana" w:cs="Arial"/>
          <w:color w:val="000000"/>
          <w:lang w:val="es-CO" w:eastAsia="es-ES"/>
        </w:rPr>
        <w:t xml:space="preserve">, </w:t>
      </w:r>
      <w:r w:rsidR="006545A7" w:rsidRPr="00B406D7">
        <w:rPr>
          <w:rFonts w:ascii="Verdana" w:eastAsia="Times New Roman" w:hAnsi="Verdana" w:cs="Arial"/>
          <w:color w:val="000000"/>
          <w:lang w:val="es-CO" w:eastAsia="es-ES"/>
        </w:rPr>
        <w:t>la</w:t>
      </w:r>
      <w:r w:rsidR="00F15129" w:rsidRPr="00B406D7">
        <w:rPr>
          <w:rFonts w:ascii="Verdana" w:eastAsia="Times New Roman" w:hAnsi="Verdana" w:cs="Arial"/>
          <w:color w:val="000000"/>
          <w:lang w:val="es-CO" w:eastAsia="es-ES"/>
        </w:rPr>
        <w:t xml:space="preserve"> cual sie</w:t>
      </w:r>
      <w:r w:rsidR="006545A7" w:rsidRPr="00B406D7">
        <w:rPr>
          <w:rFonts w:ascii="Verdana" w:eastAsia="Times New Roman" w:hAnsi="Verdana" w:cs="Arial"/>
          <w:color w:val="000000"/>
          <w:lang w:val="es-CO" w:eastAsia="es-ES"/>
        </w:rPr>
        <w:t>mp</w:t>
      </w:r>
      <w:r w:rsidR="00B026F2" w:rsidRPr="00B406D7">
        <w:rPr>
          <w:rFonts w:ascii="Verdana" w:eastAsia="Times New Roman" w:hAnsi="Verdana" w:cs="Arial"/>
          <w:color w:val="000000"/>
          <w:lang w:val="es-CO" w:eastAsia="es-ES"/>
        </w:rPr>
        <w:t>re ha sido un criterio fundamental</w:t>
      </w:r>
      <w:r w:rsidR="008624E4" w:rsidRPr="00B406D7">
        <w:rPr>
          <w:rFonts w:ascii="Verdana" w:eastAsia="Times New Roman" w:hAnsi="Verdana" w:cs="Arial"/>
          <w:color w:val="000000"/>
          <w:lang w:val="es-CO" w:eastAsia="es-ES"/>
        </w:rPr>
        <w:t xml:space="preserve"> en la contratación pública y, por lo tanto,</w:t>
      </w:r>
      <w:r w:rsidR="00F15129" w:rsidRPr="00B406D7">
        <w:rPr>
          <w:rFonts w:ascii="Verdana" w:eastAsia="Times New Roman" w:hAnsi="Verdana" w:cs="Arial"/>
          <w:color w:val="000000"/>
          <w:lang w:val="es-CO" w:eastAsia="es-ES"/>
        </w:rPr>
        <w:t xml:space="preserve"> </w:t>
      </w:r>
      <w:r w:rsidR="00B026F2" w:rsidRPr="00B406D7">
        <w:rPr>
          <w:rFonts w:ascii="Verdana" w:eastAsia="Times New Roman" w:hAnsi="Verdana" w:cs="Arial"/>
          <w:color w:val="000000"/>
          <w:lang w:val="es-CO" w:eastAsia="es-ES"/>
        </w:rPr>
        <w:t>para</w:t>
      </w:r>
      <w:r w:rsidR="00F15129" w:rsidRPr="00B406D7">
        <w:rPr>
          <w:rFonts w:ascii="Verdana" w:eastAsia="Times New Roman" w:hAnsi="Verdana" w:cs="Arial"/>
          <w:color w:val="000000"/>
          <w:lang w:val="es-CO" w:eastAsia="es-ES"/>
        </w:rPr>
        <w:t xml:space="preserve"> la construcción y actualización de los documentos tipo expedidos por la Agencia Nacional de Contratación Pública – Colombia Compra Eficiente.</w:t>
      </w:r>
      <w:r w:rsidR="001A0B78" w:rsidRPr="00B406D7">
        <w:rPr>
          <w:rFonts w:ascii="Verdana" w:eastAsia="Times New Roman" w:hAnsi="Verdana" w:cs="Arial"/>
          <w:color w:val="000000"/>
          <w:lang w:val="es-CO" w:eastAsia="es-ES"/>
        </w:rPr>
        <w:t xml:space="preserve"> Colombia ha tenido importantes avances </w:t>
      </w:r>
      <w:r w:rsidR="00F33979" w:rsidRPr="00B406D7">
        <w:rPr>
          <w:rFonts w:ascii="Verdana" w:eastAsia="Times New Roman" w:hAnsi="Verdana" w:cs="Arial"/>
          <w:color w:val="000000"/>
          <w:lang w:val="es-CO" w:eastAsia="es-ES"/>
        </w:rPr>
        <w:t>en infraestructura de transporte</w:t>
      </w:r>
      <w:r w:rsidR="00AB3992" w:rsidRPr="00B406D7">
        <w:rPr>
          <w:rFonts w:ascii="Verdana" w:eastAsia="Times New Roman" w:hAnsi="Verdana" w:cs="Arial"/>
          <w:color w:val="000000"/>
          <w:lang w:val="es-CO" w:eastAsia="es-ES"/>
        </w:rPr>
        <w:t xml:space="preserve"> y</w:t>
      </w:r>
      <w:r w:rsidR="006F185B" w:rsidRPr="00B406D7">
        <w:rPr>
          <w:rFonts w:ascii="Verdana" w:eastAsia="Times New Roman" w:hAnsi="Verdana" w:cs="Arial"/>
          <w:color w:val="000000"/>
          <w:lang w:val="es-CO" w:eastAsia="es-ES"/>
        </w:rPr>
        <w:t>, así mismo, se ha fijado grandes retos en este sector, motivo por el cual es necesario que los instrumen</w:t>
      </w:r>
      <w:r w:rsidR="00F14A8B" w:rsidRPr="00B406D7">
        <w:rPr>
          <w:rFonts w:ascii="Verdana" w:eastAsia="Times New Roman" w:hAnsi="Verdana" w:cs="Arial"/>
          <w:color w:val="000000"/>
          <w:lang w:val="es-CO" w:eastAsia="es-ES"/>
        </w:rPr>
        <w:t>tos involucrados en la planeación</w:t>
      </w:r>
      <w:r w:rsidR="0035478A" w:rsidRPr="00B406D7">
        <w:rPr>
          <w:rFonts w:ascii="Verdana" w:eastAsia="Times New Roman" w:hAnsi="Verdana" w:cs="Arial"/>
          <w:color w:val="000000"/>
          <w:lang w:val="es-CO" w:eastAsia="es-ES"/>
        </w:rPr>
        <w:t>,</w:t>
      </w:r>
      <w:r w:rsidR="00F14A8B" w:rsidRPr="00B406D7">
        <w:rPr>
          <w:rFonts w:ascii="Verdana" w:eastAsia="Times New Roman" w:hAnsi="Verdana" w:cs="Arial"/>
          <w:color w:val="000000"/>
          <w:lang w:val="es-CO" w:eastAsia="es-ES"/>
        </w:rPr>
        <w:t xml:space="preserve"> ejecución</w:t>
      </w:r>
      <w:r w:rsidR="0035478A" w:rsidRPr="00B406D7">
        <w:rPr>
          <w:rFonts w:ascii="Verdana" w:eastAsia="Times New Roman" w:hAnsi="Verdana" w:cs="Arial"/>
          <w:color w:val="000000"/>
          <w:lang w:val="es-CO" w:eastAsia="es-ES"/>
        </w:rPr>
        <w:t xml:space="preserve"> y seguimiento</w:t>
      </w:r>
      <w:r w:rsidR="00F14A8B" w:rsidRPr="00B406D7">
        <w:rPr>
          <w:rFonts w:ascii="Verdana" w:eastAsia="Times New Roman" w:hAnsi="Verdana" w:cs="Arial"/>
          <w:color w:val="000000"/>
          <w:lang w:val="es-CO" w:eastAsia="es-ES"/>
        </w:rPr>
        <w:t xml:space="preserve"> de estas políticas </w:t>
      </w:r>
      <w:r w:rsidR="00460EA0" w:rsidRPr="00B406D7">
        <w:rPr>
          <w:rFonts w:ascii="Verdana" w:eastAsia="Times New Roman" w:hAnsi="Verdana" w:cs="Arial"/>
          <w:color w:val="000000"/>
          <w:lang w:val="es-CO" w:eastAsia="es-ES"/>
        </w:rPr>
        <w:t>públicas</w:t>
      </w:r>
      <w:r w:rsidR="00F14A8B" w:rsidRPr="00B406D7">
        <w:rPr>
          <w:rFonts w:ascii="Verdana" w:eastAsia="Times New Roman" w:hAnsi="Verdana" w:cs="Arial"/>
          <w:color w:val="000000"/>
          <w:lang w:val="es-CO" w:eastAsia="es-ES"/>
        </w:rPr>
        <w:t xml:space="preserve"> estén </w:t>
      </w:r>
      <w:r w:rsidR="00287352" w:rsidRPr="00B406D7">
        <w:rPr>
          <w:rFonts w:ascii="Verdana" w:eastAsia="Times New Roman" w:hAnsi="Verdana" w:cs="Arial"/>
          <w:color w:val="000000"/>
          <w:lang w:val="es-CO" w:eastAsia="es-ES"/>
        </w:rPr>
        <w:t>armonizados</w:t>
      </w:r>
      <w:r w:rsidR="00A0097A" w:rsidRPr="00B406D7">
        <w:rPr>
          <w:rFonts w:ascii="Verdana" w:eastAsia="Times New Roman" w:hAnsi="Verdana" w:cs="Arial"/>
          <w:color w:val="000000"/>
          <w:lang w:val="es-CO" w:eastAsia="es-ES"/>
        </w:rPr>
        <w:t xml:space="preserve"> con las metas trazadas. </w:t>
      </w:r>
    </w:p>
    <w:p w14:paraId="29CB723D" w14:textId="77777777" w:rsidR="0056010D" w:rsidRPr="00B406D7" w:rsidRDefault="0056010D" w:rsidP="00B24D6C">
      <w:pPr>
        <w:spacing w:after="0" w:line="240" w:lineRule="auto"/>
        <w:ind w:right="51"/>
        <w:jc w:val="both"/>
        <w:rPr>
          <w:rFonts w:ascii="Verdana" w:eastAsia="Times New Roman" w:hAnsi="Verdana" w:cs="Arial"/>
          <w:color w:val="000000"/>
          <w:lang w:val="es-CO" w:eastAsia="es-ES"/>
        </w:rPr>
      </w:pPr>
    </w:p>
    <w:p w14:paraId="17B5EB2C" w14:textId="3A306A0F" w:rsidR="00EF3927" w:rsidRPr="00B406D7" w:rsidRDefault="003A431C" w:rsidP="00B24D6C">
      <w:pPr>
        <w:spacing w:after="0" w:line="240" w:lineRule="auto"/>
        <w:ind w:right="51"/>
        <w:jc w:val="both"/>
        <w:rPr>
          <w:rFonts w:ascii="Verdana" w:eastAsia="Times New Roman" w:hAnsi="Verdana" w:cs="Arial"/>
          <w:b/>
          <w:bCs/>
          <w:color w:val="000000"/>
          <w:lang w:val="es-CO" w:eastAsia="es-ES"/>
        </w:rPr>
      </w:pPr>
      <w:r w:rsidRPr="00B406D7">
        <w:rPr>
          <w:rFonts w:ascii="Verdana" w:eastAsia="Times New Roman" w:hAnsi="Verdana" w:cs="Arial"/>
          <w:b/>
          <w:bCs/>
          <w:color w:val="000000" w:themeColor="text1"/>
          <w:lang w:val="es-CO" w:eastAsia="es-ES"/>
        </w:rPr>
        <w:t>2.</w:t>
      </w:r>
      <w:r w:rsidR="006E626D" w:rsidRPr="00B406D7">
        <w:rPr>
          <w:rFonts w:ascii="Verdana" w:eastAsia="Times New Roman" w:hAnsi="Verdana" w:cs="Arial"/>
          <w:b/>
          <w:bCs/>
          <w:color w:val="000000" w:themeColor="text1"/>
          <w:lang w:val="es-CO" w:eastAsia="es-ES"/>
        </w:rPr>
        <w:t>3</w:t>
      </w:r>
      <w:r w:rsidR="0065587B" w:rsidRPr="00B406D7">
        <w:rPr>
          <w:rFonts w:ascii="Verdana" w:eastAsia="Times New Roman" w:hAnsi="Verdana" w:cs="Arial"/>
          <w:b/>
          <w:bCs/>
          <w:color w:val="000000" w:themeColor="text1"/>
          <w:lang w:val="es-CO" w:eastAsia="es-ES"/>
        </w:rPr>
        <w:t xml:space="preserve">. </w:t>
      </w:r>
      <w:r w:rsidR="00A41A9B" w:rsidRPr="00B406D7">
        <w:rPr>
          <w:rFonts w:ascii="Verdana" w:eastAsia="Times New Roman" w:hAnsi="Verdana" w:cs="Arial"/>
          <w:b/>
          <w:bCs/>
          <w:color w:val="000000" w:themeColor="text1"/>
          <w:lang w:val="es-CO" w:eastAsia="es-ES"/>
        </w:rPr>
        <w:t>Lineamientos del</w:t>
      </w:r>
      <w:r w:rsidR="007C7AB0" w:rsidRPr="00B406D7">
        <w:rPr>
          <w:rFonts w:ascii="Verdana" w:eastAsia="Times New Roman" w:hAnsi="Verdana" w:cs="Arial"/>
          <w:b/>
          <w:bCs/>
          <w:color w:val="000000" w:themeColor="text1"/>
          <w:lang w:val="es-CO" w:eastAsia="es-ES"/>
        </w:rPr>
        <w:t xml:space="preserve"> De</w:t>
      </w:r>
      <w:r w:rsidR="0012600D" w:rsidRPr="00B406D7">
        <w:rPr>
          <w:rFonts w:ascii="Verdana" w:eastAsia="Times New Roman" w:hAnsi="Verdana" w:cs="Arial"/>
          <w:b/>
          <w:bCs/>
          <w:color w:val="000000" w:themeColor="text1"/>
          <w:lang w:val="es-CO" w:eastAsia="es-ES"/>
        </w:rPr>
        <w:t>c</w:t>
      </w:r>
      <w:r w:rsidR="007C7AB0" w:rsidRPr="00B406D7">
        <w:rPr>
          <w:rFonts w:ascii="Verdana" w:eastAsia="Times New Roman" w:hAnsi="Verdana" w:cs="Arial"/>
          <w:b/>
          <w:bCs/>
          <w:color w:val="000000" w:themeColor="text1"/>
          <w:lang w:val="es-CO" w:eastAsia="es-ES"/>
        </w:rPr>
        <w:t>reto 142 de 2023</w:t>
      </w:r>
    </w:p>
    <w:p w14:paraId="694DF3D3" w14:textId="77777777" w:rsidR="00EB036E" w:rsidRPr="00B406D7" w:rsidRDefault="00EB036E" w:rsidP="00B24D6C">
      <w:pPr>
        <w:spacing w:after="0" w:line="240" w:lineRule="auto"/>
        <w:ind w:right="51"/>
        <w:jc w:val="both"/>
        <w:rPr>
          <w:rFonts w:ascii="Verdana" w:eastAsia="Times New Roman" w:hAnsi="Verdana" w:cs="Arial"/>
          <w:b/>
          <w:bCs/>
          <w:color w:val="000000"/>
          <w:lang w:val="es-CO" w:eastAsia="es-ES"/>
        </w:rPr>
      </w:pPr>
    </w:p>
    <w:p w14:paraId="0DD5CDBD" w14:textId="77777777" w:rsidR="006361D9" w:rsidRPr="00B406D7" w:rsidRDefault="006361D9" w:rsidP="006361D9">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La contratación pública tiene una función estratégica para la promoción de objetivos sociales y ambientales, ya que representa un porcentaje considerable del gasto público. El sistema de compras públicas se erige como un mecanismo para satisfacer las necesidades de las entidades estatales, las cuales, a su vez, se encuentran estrictamente atadas a los intereses de la comunidad. </w:t>
      </w:r>
    </w:p>
    <w:p w14:paraId="5E42874D" w14:textId="77777777" w:rsidR="006361D9" w:rsidRPr="00B406D7" w:rsidRDefault="006361D9" w:rsidP="006361D9">
      <w:pPr>
        <w:spacing w:after="0" w:line="240" w:lineRule="auto"/>
        <w:ind w:right="51"/>
        <w:jc w:val="both"/>
        <w:rPr>
          <w:rFonts w:ascii="Verdana" w:eastAsia="Times New Roman" w:hAnsi="Verdana" w:cs="Arial"/>
          <w:color w:val="000000"/>
          <w:lang w:val="es-CO" w:eastAsia="es-ES"/>
        </w:rPr>
      </w:pPr>
    </w:p>
    <w:p w14:paraId="394D854A" w14:textId="77777777" w:rsidR="006361D9" w:rsidRPr="00B406D7" w:rsidRDefault="006361D9" w:rsidP="006361D9">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El Decreto 142 de 2023 modificó y adicionó el Decreto 1082 de 2015, Único Reglamentario del Sector Administrativo de Planeación Nacional, con el propósito de promover el acceso al sistema de compras públicas de las </w:t>
      </w:r>
      <w:proofErr w:type="spellStart"/>
      <w:r w:rsidRPr="00B406D7">
        <w:rPr>
          <w:rFonts w:ascii="Verdana" w:eastAsia="Times New Roman" w:hAnsi="Verdana" w:cs="Arial"/>
          <w:color w:val="000000"/>
          <w:lang w:val="es-CO" w:eastAsia="es-ES"/>
        </w:rPr>
        <w:t>Mipymes</w:t>
      </w:r>
      <w:proofErr w:type="spellEnd"/>
      <w:r w:rsidRPr="00B406D7">
        <w:rPr>
          <w:rFonts w:ascii="Verdana" w:eastAsia="Times New Roman" w:hAnsi="Verdana" w:cs="Arial"/>
          <w:color w:val="000000"/>
          <w:lang w:val="es-CO" w:eastAsia="es-ES"/>
        </w:rPr>
        <w:t xml:space="preserve">, las Cooperativas y demás entidades de la economía solidaria. También, incluyó el Título de emprendimiento comunal e incorporó criterios sociales y ambientales en la valoración de la oferta más favorable, de conformidad con el objeto del contrato. Así mismo, resalta la importancia de que las entidades estatales promuevan la división de los procesos de contratación en lotes o segmentos que faciliten la participación de las </w:t>
      </w:r>
      <w:proofErr w:type="spellStart"/>
      <w:r w:rsidRPr="00B406D7">
        <w:rPr>
          <w:rFonts w:ascii="Verdana" w:eastAsia="Times New Roman" w:hAnsi="Verdana" w:cs="Arial"/>
          <w:color w:val="000000"/>
          <w:lang w:val="es-CO" w:eastAsia="es-ES"/>
        </w:rPr>
        <w:lastRenderedPageBreak/>
        <w:t>Mipymes</w:t>
      </w:r>
      <w:proofErr w:type="spellEnd"/>
      <w:r w:rsidRPr="00B406D7">
        <w:rPr>
          <w:rFonts w:ascii="Verdana" w:eastAsia="Times New Roman" w:hAnsi="Verdana" w:cs="Arial"/>
          <w:color w:val="000000"/>
          <w:lang w:val="es-CO" w:eastAsia="es-ES"/>
        </w:rPr>
        <w:t>, atendiendo a criterios como el tipo de entregable, el valor del contrato y el ámbito geográfico de la entrega</w:t>
      </w:r>
      <w:r w:rsidRPr="00B406D7">
        <w:rPr>
          <w:rStyle w:val="Refdenotaalpie"/>
          <w:rFonts w:ascii="Verdana" w:eastAsia="Times New Roman" w:hAnsi="Verdana" w:cs="Arial"/>
          <w:color w:val="000000"/>
          <w:lang w:val="es-CO" w:eastAsia="es-ES"/>
        </w:rPr>
        <w:footnoteReference w:id="6"/>
      </w:r>
      <w:r w:rsidRPr="00B406D7">
        <w:rPr>
          <w:rFonts w:ascii="Verdana" w:eastAsia="Times New Roman" w:hAnsi="Verdana" w:cs="Arial"/>
          <w:color w:val="000000"/>
          <w:lang w:val="es-CO" w:eastAsia="es-ES"/>
        </w:rPr>
        <w:t>.</w:t>
      </w:r>
    </w:p>
    <w:p w14:paraId="6DFF4C6F" w14:textId="77777777" w:rsidR="006361D9" w:rsidRPr="00B406D7" w:rsidRDefault="006361D9" w:rsidP="006361D9">
      <w:pPr>
        <w:spacing w:after="0" w:line="240" w:lineRule="auto"/>
        <w:ind w:right="51"/>
        <w:jc w:val="both"/>
        <w:rPr>
          <w:rFonts w:ascii="Verdana" w:eastAsia="Times New Roman" w:hAnsi="Verdana" w:cs="Arial"/>
          <w:color w:val="000000"/>
          <w:lang w:val="es-CO" w:eastAsia="es-ES"/>
        </w:rPr>
      </w:pPr>
    </w:p>
    <w:p w14:paraId="76243562" w14:textId="77777777" w:rsidR="006361D9" w:rsidRPr="00B406D7" w:rsidRDefault="006361D9" w:rsidP="006361D9">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 xml:space="preserve">El sistema de compras públicas tiene una función estratégica para la promoción de objetivos sociales y ambientales, ya que estos representan un porcentaje considerable del gasto público. Colombia Compra Eficiente promueve las compras públicas sostenibles con el ambiente, teniendo en cuenta la importancia de minimizar el impacto ambiental y de contribuir con el uso eficiente de recursos y la adaptación al cambio climático. De acuerdo con la “Guía de compras públicas sostenibles con el ambiente” expedida por esta Agencia, una compra es sostenible </w:t>
      </w:r>
      <w:r w:rsidRPr="00B406D7">
        <w:rPr>
          <w:rFonts w:ascii="Verdana" w:eastAsia="Times New Roman" w:hAnsi="Verdana" w:cs="Arial"/>
          <w:i/>
          <w:iCs/>
          <w:color w:val="000000"/>
          <w:lang w:val="es-CO" w:eastAsia="es-ES"/>
        </w:rPr>
        <w:t>“cuando satisface la necesidad y contribuye a la protección del medio ambiente, la reducción en el consumo de recursos, o la inclusión y la justicia social durante el desarrollo de un proceso de compra pública”.</w:t>
      </w:r>
    </w:p>
    <w:p w14:paraId="6620E291" w14:textId="77777777" w:rsidR="006361D9" w:rsidRPr="00B406D7" w:rsidRDefault="006361D9" w:rsidP="006361D9">
      <w:pPr>
        <w:spacing w:after="0" w:line="240" w:lineRule="auto"/>
        <w:ind w:right="51"/>
        <w:jc w:val="both"/>
        <w:rPr>
          <w:rFonts w:ascii="Verdana" w:eastAsia="Times New Roman" w:hAnsi="Verdana" w:cs="Arial"/>
          <w:i/>
          <w:iCs/>
          <w:color w:val="000000"/>
          <w:lang w:val="es-CO" w:eastAsia="es-ES"/>
        </w:rPr>
      </w:pPr>
    </w:p>
    <w:p w14:paraId="16A0B928" w14:textId="21DB41CC" w:rsidR="006361D9" w:rsidRPr="00B406D7" w:rsidRDefault="006361D9" w:rsidP="006361D9">
      <w:pPr>
        <w:spacing w:after="0" w:line="240" w:lineRule="auto"/>
        <w:ind w:right="51"/>
        <w:jc w:val="both"/>
        <w:rPr>
          <w:rFonts w:ascii="Verdana" w:eastAsia="Times New Roman" w:hAnsi="Verdana" w:cs="Arial"/>
          <w:color w:val="000000"/>
          <w:lang w:val="es-CO" w:eastAsia="es-ES"/>
        </w:rPr>
      </w:pPr>
      <w:r w:rsidRPr="00B406D7">
        <w:rPr>
          <w:rFonts w:ascii="Verdana" w:eastAsia="Times New Roman" w:hAnsi="Verdana" w:cs="Arial"/>
          <w:color w:val="000000"/>
          <w:lang w:val="es-CO" w:eastAsia="es-ES"/>
        </w:rPr>
        <w:t>Las compras públicas amigables con el medio ambiente generan beneficios económicos, ambientales, sociales y financieros, y resultan aplicables a la mayoría de los sectores económicos, incluyendo las obras civiles y sus estudios de ingeniería.</w:t>
      </w:r>
    </w:p>
    <w:p w14:paraId="678C0BA8" w14:textId="77777777" w:rsidR="00007A1E" w:rsidRPr="00B406D7" w:rsidRDefault="00007A1E" w:rsidP="00CA518B">
      <w:pPr>
        <w:spacing w:after="0" w:line="240" w:lineRule="auto"/>
        <w:ind w:right="51"/>
        <w:jc w:val="both"/>
        <w:rPr>
          <w:rFonts w:ascii="Verdana" w:eastAsia="Times New Roman" w:hAnsi="Verdana" w:cs="Arial"/>
          <w:color w:val="000000"/>
          <w:lang w:eastAsia="es-ES"/>
        </w:rPr>
      </w:pPr>
    </w:p>
    <w:p w14:paraId="662F4A57" w14:textId="7953B5B8" w:rsidR="004F0660" w:rsidRPr="00B406D7" w:rsidRDefault="004F0660" w:rsidP="00CA518B">
      <w:pPr>
        <w:spacing w:after="0" w:line="240" w:lineRule="auto"/>
        <w:ind w:right="51"/>
        <w:jc w:val="both"/>
        <w:rPr>
          <w:rFonts w:ascii="Verdana" w:eastAsia="Times New Roman" w:hAnsi="Verdana" w:cs="Arial"/>
          <w:b/>
          <w:bCs/>
          <w:color w:val="000000"/>
          <w:lang w:eastAsia="es-ES"/>
        </w:rPr>
      </w:pPr>
      <w:r w:rsidRPr="00B406D7">
        <w:rPr>
          <w:rFonts w:ascii="Verdana" w:eastAsia="Times New Roman" w:hAnsi="Verdana" w:cs="Arial"/>
          <w:b/>
          <w:bCs/>
          <w:color w:val="000000"/>
          <w:lang w:eastAsia="es-ES"/>
        </w:rPr>
        <w:t xml:space="preserve">2.4. Deber de revisión constante de los Documentos Tipo y la necesidad de actualizar la Matriz de </w:t>
      </w:r>
      <w:r w:rsidR="00673325" w:rsidRPr="00B406D7">
        <w:rPr>
          <w:rFonts w:ascii="Verdana" w:eastAsia="Times New Roman" w:hAnsi="Verdana" w:cs="Arial"/>
          <w:b/>
          <w:bCs/>
          <w:color w:val="000000"/>
          <w:lang w:eastAsia="es-ES"/>
        </w:rPr>
        <w:t>E</w:t>
      </w:r>
      <w:r w:rsidRPr="00B406D7">
        <w:rPr>
          <w:rFonts w:ascii="Verdana" w:eastAsia="Times New Roman" w:hAnsi="Verdana" w:cs="Arial"/>
          <w:b/>
          <w:bCs/>
          <w:color w:val="000000"/>
          <w:lang w:eastAsia="es-ES"/>
        </w:rPr>
        <w:t>xperiencia</w:t>
      </w:r>
      <w:r w:rsidR="00502854" w:rsidRPr="00B406D7">
        <w:rPr>
          <w:rFonts w:ascii="Verdana" w:eastAsia="Times New Roman" w:hAnsi="Verdana" w:cs="Arial"/>
          <w:b/>
          <w:bCs/>
          <w:color w:val="000000"/>
          <w:lang w:eastAsia="es-ES"/>
        </w:rPr>
        <w:t xml:space="preserve"> y de incorporar nuevos criterios de evaluación y formatos</w:t>
      </w:r>
    </w:p>
    <w:p w14:paraId="0AE0DB10" w14:textId="1B503943" w:rsidR="004D5B34" w:rsidRPr="00B406D7" w:rsidRDefault="004D5B34" w:rsidP="009034B7">
      <w:pPr>
        <w:pStyle w:val="NormalWeb"/>
        <w:spacing w:before="0" w:beforeAutospacing="0" w:after="0" w:afterAutospacing="0"/>
        <w:ind w:right="51"/>
        <w:jc w:val="both"/>
        <w:rPr>
          <w:rFonts w:ascii="Verdana" w:hAnsi="Verdana" w:cs="Arial"/>
          <w:sz w:val="22"/>
          <w:szCs w:val="22"/>
          <w:lang w:eastAsia="es-ES"/>
        </w:rPr>
      </w:pPr>
    </w:p>
    <w:p w14:paraId="286A14D5" w14:textId="55C11D39" w:rsidR="00815018" w:rsidRPr="00B406D7" w:rsidRDefault="00815018" w:rsidP="00815018">
      <w:pPr>
        <w:pStyle w:val="NormalWeb"/>
        <w:spacing w:before="0" w:beforeAutospacing="0" w:after="0" w:afterAutospacing="0"/>
        <w:ind w:right="51"/>
        <w:jc w:val="both"/>
        <w:rPr>
          <w:rFonts w:ascii="Verdana" w:hAnsi="Verdana" w:cs="Arial"/>
          <w:sz w:val="22"/>
          <w:szCs w:val="22"/>
          <w:lang w:eastAsia="es-ES"/>
        </w:rPr>
      </w:pPr>
      <w:r w:rsidRPr="00B406D7">
        <w:rPr>
          <w:rFonts w:ascii="Verdana" w:hAnsi="Verdana" w:cs="Arial"/>
          <w:sz w:val="22"/>
          <w:szCs w:val="22"/>
          <w:lang w:eastAsia="es-ES"/>
        </w:rPr>
        <w:lastRenderedPageBreak/>
        <w:t xml:space="preserve">La Ley 2022 de 2020 establece que la Agencia Nacional de Contratación Pública </w:t>
      </w:r>
      <w:r w:rsidR="007E2C9C" w:rsidRPr="00B406D7">
        <w:rPr>
          <w:rFonts w:ascii="Verdana" w:hAnsi="Verdana" w:cs="Arial"/>
          <w:sz w:val="22"/>
          <w:szCs w:val="22"/>
          <w:lang w:eastAsia="es-ES"/>
        </w:rPr>
        <w:t>–</w:t>
      </w:r>
      <w:r w:rsidRPr="00B406D7">
        <w:rPr>
          <w:rFonts w:ascii="Verdana" w:hAnsi="Verdana" w:cs="Arial"/>
          <w:sz w:val="22"/>
          <w:szCs w:val="22"/>
          <w:lang w:eastAsia="es-ES"/>
        </w:rPr>
        <w:t>Colombia Compra Eficiente</w:t>
      </w:r>
      <w:r w:rsidR="007E2C9C" w:rsidRPr="00B406D7">
        <w:rPr>
          <w:rFonts w:ascii="Verdana" w:hAnsi="Verdana" w:cs="Arial"/>
          <w:sz w:val="22"/>
          <w:szCs w:val="22"/>
          <w:lang w:eastAsia="es-ES"/>
        </w:rPr>
        <w:t>–</w:t>
      </w:r>
      <w:r w:rsidRPr="00B406D7">
        <w:rPr>
          <w:rFonts w:ascii="Verdana" w:hAnsi="Verdana" w:cs="Arial"/>
          <w:sz w:val="22"/>
          <w:szCs w:val="22"/>
          <w:lang w:eastAsia="es-ES"/>
        </w:rPr>
        <w:t xml:space="preserve"> debe revisar constantemente el contenido de los Documentos Tipo que expida. En desarrollo de este deber, la Agencia realiza ajustes puntuales a los Documentos Tipo </w:t>
      </w:r>
      <w:r w:rsidR="004D5EF6" w:rsidRPr="00B406D7">
        <w:rPr>
          <w:rFonts w:ascii="Verdana" w:hAnsi="Verdana" w:cs="Arial"/>
          <w:sz w:val="22"/>
          <w:szCs w:val="22"/>
          <w:lang w:eastAsia="es-ES"/>
        </w:rPr>
        <w:t>de consultoría de estudios de ingeniería de infraestructura de</w:t>
      </w:r>
      <w:r w:rsidRPr="00B406D7">
        <w:rPr>
          <w:rFonts w:ascii="Verdana" w:hAnsi="Verdana" w:cs="Arial"/>
          <w:sz w:val="22"/>
          <w:szCs w:val="22"/>
          <w:lang w:eastAsia="es-ES"/>
        </w:rPr>
        <w:t xml:space="preserve"> transporte</w:t>
      </w:r>
      <w:r w:rsidR="001E6522" w:rsidRPr="00B406D7">
        <w:rPr>
          <w:rFonts w:ascii="Verdana" w:hAnsi="Verdana" w:cs="Arial"/>
          <w:sz w:val="22"/>
          <w:szCs w:val="22"/>
          <w:lang w:eastAsia="es-ES"/>
        </w:rPr>
        <w:t xml:space="preserve"> adelantados bajo la modalidad </w:t>
      </w:r>
      <w:r w:rsidR="0034048C" w:rsidRPr="00B406D7">
        <w:rPr>
          <w:rFonts w:ascii="Verdana" w:hAnsi="Verdana" w:cs="Arial"/>
          <w:sz w:val="22"/>
          <w:szCs w:val="22"/>
          <w:lang w:eastAsia="es-ES"/>
        </w:rPr>
        <w:t xml:space="preserve">de </w:t>
      </w:r>
      <w:r w:rsidR="004D5EF6" w:rsidRPr="00B406D7">
        <w:rPr>
          <w:rFonts w:ascii="Verdana" w:hAnsi="Verdana" w:cs="Arial"/>
          <w:sz w:val="22"/>
          <w:szCs w:val="22"/>
          <w:lang w:eastAsia="es-ES"/>
        </w:rPr>
        <w:t>concurso de méritos</w:t>
      </w:r>
      <w:r w:rsidRPr="00B406D7">
        <w:rPr>
          <w:rFonts w:ascii="Verdana" w:hAnsi="Verdana" w:cs="Arial"/>
          <w:sz w:val="22"/>
          <w:szCs w:val="22"/>
          <w:lang w:eastAsia="es-ES"/>
        </w:rPr>
        <w:t xml:space="preserve">, derivados de las consultas y comentarios realizados por la ciudadanía respecto </w:t>
      </w:r>
      <w:r w:rsidR="00577DCF" w:rsidRPr="00B406D7">
        <w:rPr>
          <w:rFonts w:ascii="Verdana" w:hAnsi="Verdana" w:cs="Arial"/>
          <w:sz w:val="22"/>
          <w:szCs w:val="22"/>
          <w:lang w:eastAsia="es-ES"/>
        </w:rPr>
        <w:t>a su contenido</w:t>
      </w:r>
      <w:r w:rsidRPr="00B406D7">
        <w:rPr>
          <w:rFonts w:ascii="Verdana" w:hAnsi="Verdana" w:cs="Arial"/>
          <w:sz w:val="22"/>
          <w:szCs w:val="22"/>
          <w:lang w:eastAsia="es-ES"/>
        </w:rPr>
        <w:t>.</w:t>
      </w:r>
    </w:p>
    <w:p w14:paraId="67520AC2" w14:textId="2A712475" w:rsidR="00815018" w:rsidRPr="00B406D7" w:rsidRDefault="00043214" w:rsidP="322F65E8">
      <w:pPr>
        <w:pStyle w:val="NormalWeb"/>
        <w:spacing w:before="0" w:beforeAutospacing="0" w:after="0" w:afterAutospacing="0"/>
        <w:ind w:right="51"/>
        <w:jc w:val="both"/>
        <w:rPr>
          <w:rFonts w:ascii="Verdana" w:hAnsi="Verdana" w:cs="Arial"/>
          <w:sz w:val="22"/>
          <w:szCs w:val="22"/>
          <w:lang w:eastAsia="es-ES"/>
        </w:rPr>
      </w:pPr>
      <w:r w:rsidRPr="00B406D7">
        <w:rPr>
          <w:rFonts w:ascii="Verdana" w:hAnsi="Verdana" w:cs="Arial"/>
          <w:sz w:val="22"/>
          <w:szCs w:val="22"/>
          <w:lang w:eastAsia="es-ES"/>
        </w:rPr>
        <w:t>[…]</w:t>
      </w:r>
    </w:p>
    <w:p w14:paraId="4186F86B" w14:textId="053D2A48" w:rsidR="00210BF5" w:rsidRPr="00B406D7" w:rsidRDefault="00210BF5" w:rsidP="00E35B3C">
      <w:pPr>
        <w:pStyle w:val="NormalWeb"/>
        <w:spacing w:before="0" w:beforeAutospacing="0" w:after="0" w:afterAutospacing="0"/>
        <w:ind w:right="51"/>
        <w:jc w:val="both"/>
        <w:rPr>
          <w:rFonts w:ascii="Verdana" w:hAnsi="Verdana" w:cs="Arial"/>
          <w:b/>
          <w:bCs/>
          <w:sz w:val="22"/>
          <w:szCs w:val="22"/>
          <w:lang w:eastAsia="es-ES"/>
        </w:rPr>
      </w:pPr>
      <w:r w:rsidRPr="00B406D7">
        <w:rPr>
          <w:rFonts w:ascii="Verdana" w:hAnsi="Verdana" w:cs="Arial"/>
          <w:b/>
          <w:bCs/>
          <w:sz w:val="22"/>
          <w:szCs w:val="22"/>
          <w:lang w:eastAsia="es-ES"/>
        </w:rPr>
        <w:t>2.5. Análisis de los datos relevantes suministrados por la Subdirección de Estudios de Mercado y Abastecimiento Estratégico de esta Agencia</w:t>
      </w:r>
    </w:p>
    <w:p w14:paraId="4D6BA3AB" w14:textId="77777777" w:rsidR="00210BF5" w:rsidRPr="00B406D7" w:rsidRDefault="00210BF5" w:rsidP="00E35B3C">
      <w:pPr>
        <w:pStyle w:val="NormalWeb"/>
        <w:spacing w:before="0" w:beforeAutospacing="0" w:after="0" w:afterAutospacing="0"/>
        <w:ind w:right="51"/>
        <w:jc w:val="both"/>
        <w:rPr>
          <w:rFonts w:ascii="Verdana" w:hAnsi="Verdana" w:cs="Arial"/>
          <w:b/>
          <w:bCs/>
          <w:sz w:val="22"/>
          <w:szCs w:val="22"/>
          <w:lang w:eastAsia="es-ES"/>
        </w:rPr>
      </w:pPr>
    </w:p>
    <w:p w14:paraId="4AF6C4D4" w14:textId="73866522" w:rsidR="00500582" w:rsidRPr="00B406D7" w:rsidRDefault="00500582" w:rsidP="00E35B3C">
      <w:pPr>
        <w:snapToGrid w:val="0"/>
        <w:spacing w:after="0" w:line="240" w:lineRule="auto"/>
        <w:jc w:val="both"/>
        <w:rPr>
          <w:rFonts w:ascii="Verdana" w:eastAsia="Calibri" w:hAnsi="Verdana" w:cs="Arial"/>
        </w:rPr>
      </w:pPr>
      <w:bookmarkStart w:id="0" w:name="_Toc161653007"/>
      <w:r w:rsidRPr="00B406D7">
        <w:rPr>
          <w:rFonts w:ascii="Verdana" w:eastAsia="Calibri" w:hAnsi="Verdana" w:cs="Arial"/>
        </w:rPr>
        <w:t>Para la elaboración de este insumo estratégico</w:t>
      </w:r>
      <w:r w:rsidR="007C6836" w:rsidRPr="00B406D7">
        <w:rPr>
          <w:rFonts w:ascii="Verdana" w:eastAsia="Calibri" w:hAnsi="Verdana" w:cs="Arial"/>
        </w:rPr>
        <w:t>, la Subdirección de Estudios de Mercado y Abast</w:t>
      </w:r>
      <w:r w:rsidR="00C97BE6" w:rsidRPr="00B406D7">
        <w:rPr>
          <w:rFonts w:ascii="Verdana" w:eastAsia="Calibri" w:hAnsi="Verdana" w:cs="Arial"/>
        </w:rPr>
        <w:t xml:space="preserve">ecimiento Estratégico </w:t>
      </w:r>
      <w:r w:rsidRPr="00B406D7">
        <w:rPr>
          <w:rFonts w:ascii="Verdana" w:eastAsia="Calibri" w:hAnsi="Verdana" w:cs="Arial"/>
        </w:rPr>
        <w:t>utilizó la información de</w:t>
      </w:r>
      <w:r w:rsidR="00E43055" w:rsidRPr="00B406D7">
        <w:rPr>
          <w:rFonts w:ascii="Verdana" w:eastAsia="Calibri" w:hAnsi="Verdana" w:cs="Arial"/>
        </w:rPr>
        <w:t>l Sistema Electrónico de Contratación Pública</w:t>
      </w:r>
      <w:r w:rsidR="00E441EB" w:rsidRPr="00B406D7">
        <w:rPr>
          <w:rFonts w:ascii="Verdana" w:eastAsia="Calibri" w:hAnsi="Verdana" w:cs="Arial"/>
        </w:rPr>
        <w:t xml:space="preserve"> –</w:t>
      </w:r>
      <w:r w:rsidRPr="00B406D7">
        <w:rPr>
          <w:rFonts w:ascii="Verdana" w:eastAsia="Calibri" w:hAnsi="Verdana" w:cs="Arial"/>
        </w:rPr>
        <w:t xml:space="preserve"> SECOP I y</w:t>
      </w:r>
      <w:r w:rsidR="00E441EB" w:rsidRPr="00B406D7">
        <w:rPr>
          <w:rFonts w:ascii="Verdana" w:eastAsia="Calibri" w:hAnsi="Verdana" w:cs="Arial"/>
        </w:rPr>
        <w:t xml:space="preserve"> </w:t>
      </w:r>
      <w:r w:rsidRPr="00B406D7">
        <w:rPr>
          <w:rFonts w:ascii="Verdana" w:eastAsia="Calibri" w:hAnsi="Verdana" w:cs="Arial"/>
        </w:rPr>
        <w:t>II, publicada por la ANCP</w:t>
      </w:r>
      <w:r w:rsidR="00E35015" w:rsidRPr="00B406D7">
        <w:rPr>
          <w:rFonts w:ascii="Verdana" w:eastAsia="Calibri" w:hAnsi="Verdana" w:cs="Arial"/>
        </w:rPr>
        <w:t xml:space="preserve"> – </w:t>
      </w:r>
      <w:r w:rsidRPr="00B406D7">
        <w:rPr>
          <w:rFonts w:ascii="Verdana" w:eastAsia="Calibri" w:hAnsi="Verdana" w:cs="Arial"/>
        </w:rPr>
        <w:t>CCE en el portal de Datos Abiertos, con un universo de más de 11 millones de contratos. Los contratos que se revisaron como punto de partida para este análisis fue la base de datos general</w:t>
      </w:r>
      <w:r w:rsidR="00704EDD" w:rsidRPr="00B406D7">
        <w:rPr>
          <w:rFonts w:ascii="Verdana" w:eastAsia="Calibri" w:hAnsi="Verdana" w:cs="Arial"/>
        </w:rPr>
        <w:t xml:space="preserve">, </w:t>
      </w:r>
      <w:r w:rsidRPr="00B406D7">
        <w:rPr>
          <w:rFonts w:ascii="Verdana" w:eastAsia="Calibri" w:hAnsi="Verdana" w:cs="Arial"/>
        </w:rPr>
        <w:t xml:space="preserve">la cual contiene 44.854 registros correspondientes a contratos firmados desde el 1 de enero de 2021 y a corte de 31 de diciembre de 2023. </w:t>
      </w:r>
    </w:p>
    <w:p w14:paraId="5CBCF1B6" w14:textId="77777777" w:rsidR="00E35B3C" w:rsidRPr="00B406D7" w:rsidRDefault="00E35B3C" w:rsidP="00E35B3C">
      <w:pPr>
        <w:snapToGrid w:val="0"/>
        <w:spacing w:after="0" w:line="240" w:lineRule="auto"/>
        <w:jc w:val="both"/>
        <w:rPr>
          <w:rFonts w:ascii="Verdana" w:eastAsia="Calibri" w:hAnsi="Verdana" w:cs="Arial"/>
          <w:iCs/>
        </w:rPr>
      </w:pPr>
    </w:p>
    <w:p w14:paraId="77E9E6EF" w14:textId="7C1BEB5D" w:rsidR="00500582" w:rsidRPr="00B406D7" w:rsidRDefault="00500582" w:rsidP="00E35B3C">
      <w:pPr>
        <w:snapToGrid w:val="0"/>
        <w:spacing w:after="0" w:line="240" w:lineRule="auto"/>
        <w:jc w:val="both"/>
        <w:rPr>
          <w:rFonts w:ascii="Verdana" w:eastAsia="Calibri" w:hAnsi="Verdana" w:cs="Arial"/>
        </w:rPr>
      </w:pPr>
      <w:r w:rsidRPr="00B406D7">
        <w:rPr>
          <w:rFonts w:ascii="Verdana" w:eastAsia="Calibri" w:hAnsi="Verdana" w:cs="Arial"/>
        </w:rPr>
        <w:t>De dicha base, se identificaron, procesaron y analizaron 11.322 contratos correspondientes al Sector</w:t>
      </w:r>
      <w:r w:rsidR="00D25118" w:rsidRPr="00B406D7">
        <w:rPr>
          <w:rFonts w:ascii="Verdana" w:eastAsia="Calibri" w:hAnsi="Verdana" w:cs="Arial"/>
        </w:rPr>
        <w:t xml:space="preserve"> Transporte.</w:t>
      </w:r>
    </w:p>
    <w:p w14:paraId="0E8A77CE" w14:textId="77777777" w:rsidR="00E35B3C" w:rsidRPr="00B406D7" w:rsidRDefault="00E35B3C" w:rsidP="00E35B3C">
      <w:pPr>
        <w:snapToGrid w:val="0"/>
        <w:spacing w:after="0" w:line="240" w:lineRule="auto"/>
        <w:jc w:val="both"/>
        <w:rPr>
          <w:rFonts w:ascii="Verdana" w:eastAsia="Calibri" w:hAnsi="Verdana" w:cs="Arial"/>
          <w:iCs/>
          <w:color w:val="000000"/>
        </w:rPr>
      </w:pPr>
    </w:p>
    <w:bookmarkEnd w:id="0"/>
    <w:p w14:paraId="67D83474" w14:textId="68F2DB9E" w:rsidR="00500582" w:rsidRPr="00B406D7" w:rsidRDefault="00500582" w:rsidP="00E35B3C">
      <w:pPr>
        <w:snapToGrid w:val="0"/>
        <w:spacing w:after="0" w:line="240" w:lineRule="auto"/>
        <w:jc w:val="both"/>
        <w:rPr>
          <w:rFonts w:ascii="Verdana" w:hAnsi="Verdana" w:cs="Arial"/>
        </w:rPr>
      </w:pPr>
      <w:r w:rsidRPr="00B406D7">
        <w:rPr>
          <w:rFonts w:ascii="Verdana" w:hAnsi="Verdana" w:cs="Arial"/>
        </w:rPr>
        <w:t xml:space="preserve">Los datos observados fueron extraídos por el </w:t>
      </w:r>
      <w:r w:rsidR="00D05D0B" w:rsidRPr="00B406D7">
        <w:rPr>
          <w:rFonts w:ascii="Verdana" w:eastAsia="Times New Roman" w:hAnsi="Verdana" w:cs="Arial"/>
          <w:lang w:eastAsia="es-CO"/>
        </w:rPr>
        <w:t>G</w:t>
      </w:r>
      <w:r w:rsidR="00D25118" w:rsidRPr="00B406D7">
        <w:rPr>
          <w:rFonts w:ascii="Verdana" w:eastAsia="Times New Roman" w:hAnsi="Verdana" w:cs="Arial"/>
          <w:lang w:eastAsia="es-CO"/>
        </w:rPr>
        <w:t>r</w:t>
      </w:r>
      <w:r w:rsidRPr="00B406D7">
        <w:rPr>
          <w:rFonts w:ascii="Verdana" w:eastAsia="Times New Roman" w:hAnsi="Verdana" w:cs="Arial"/>
          <w:lang w:eastAsia="es-CO"/>
        </w:rPr>
        <w:t xml:space="preserve">upo de </w:t>
      </w:r>
      <w:r w:rsidR="00D05D0B" w:rsidRPr="00B406D7">
        <w:rPr>
          <w:rFonts w:ascii="Verdana" w:eastAsia="Times New Roman" w:hAnsi="Verdana" w:cs="Arial"/>
          <w:lang w:eastAsia="es-CO"/>
        </w:rPr>
        <w:t>A</w:t>
      </w:r>
      <w:r w:rsidRPr="00B406D7">
        <w:rPr>
          <w:rFonts w:ascii="Verdana" w:eastAsia="Times New Roman" w:hAnsi="Verdana" w:cs="Arial"/>
          <w:lang w:eastAsia="es-CO"/>
        </w:rPr>
        <w:t xml:space="preserve">nalítica, </w:t>
      </w:r>
      <w:r w:rsidR="00D05D0B" w:rsidRPr="00B406D7">
        <w:rPr>
          <w:rFonts w:ascii="Verdana" w:eastAsia="Times New Roman" w:hAnsi="Verdana" w:cs="Arial"/>
          <w:lang w:eastAsia="es-CO"/>
        </w:rPr>
        <w:t>E</w:t>
      </w:r>
      <w:r w:rsidRPr="00B406D7">
        <w:rPr>
          <w:rFonts w:ascii="Verdana" w:eastAsia="Times New Roman" w:hAnsi="Verdana" w:cs="Arial"/>
          <w:lang w:eastAsia="es-CO"/>
        </w:rPr>
        <w:t xml:space="preserve">strategia y </w:t>
      </w:r>
      <w:r w:rsidR="00D05D0B" w:rsidRPr="00B406D7">
        <w:rPr>
          <w:rFonts w:ascii="Verdana" w:eastAsia="Times New Roman" w:hAnsi="Verdana" w:cs="Arial"/>
          <w:lang w:eastAsia="es-CO"/>
        </w:rPr>
        <w:t>C</w:t>
      </w:r>
      <w:r w:rsidRPr="00B406D7">
        <w:rPr>
          <w:rFonts w:ascii="Verdana" w:eastAsia="Times New Roman" w:hAnsi="Verdana" w:cs="Arial"/>
          <w:lang w:eastAsia="es-CO"/>
        </w:rPr>
        <w:t xml:space="preserve">iencia de </w:t>
      </w:r>
      <w:r w:rsidR="00513A7B" w:rsidRPr="00B406D7">
        <w:rPr>
          <w:rFonts w:ascii="Verdana" w:eastAsia="Times New Roman" w:hAnsi="Verdana" w:cs="Arial"/>
          <w:lang w:eastAsia="es-CO"/>
        </w:rPr>
        <w:t>D</w:t>
      </w:r>
      <w:r w:rsidRPr="00B406D7">
        <w:rPr>
          <w:rFonts w:ascii="Verdana" w:eastAsia="Times New Roman" w:hAnsi="Verdana" w:cs="Arial"/>
          <w:lang w:eastAsia="es-CO"/>
        </w:rPr>
        <w:t xml:space="preserve">atos </w:t>
      </w:r>
      <w:r w:rsidR="00B80840" w:rsidRPr="00B406D7">
        <w:rPr>
          <w:rFonts w:ascii="Verdana" w:eastAsia="Times New Roman" w:hAnsi="Verdana" w:cs="Arial"/>
          <w:lang w:eastAsia="es-CO"/>
        </w:rPr>
        <w:t>–</w:t>
      </w:r>
      <w:r w:rsidRPr="00B406D7">
        <w:rPr>
          <w:rFonts w:ascii="Verdana" w:eastAsia="Times New Roman" w:hAnsi="Verdana" w:cs="Arial"/>
          <w:lang w:eastAsia="es-CO"/>
        </w:rPr>
        <w:t>GAEC</w:t>
      </w:r>
      <w:r w:rsidR="00B80840" w:rsidRPr="00B406D7">
        <w:rPr>
          <w:rFonts w:ascii="Verdana" w:eastAsia="Times New Roman" w:hAnsi="Verdana" w:cs="Arial"/>
          <w:lang w:eastAsia="es-CO"/>
        </w:rPr>
        <w:t>–</w:t>
      </w:r>
      <w:r w:rsidRPr="00B406D7">
        <w:rPr>
          <w:rFonts w:ascii="Verdana" w:eastAsia="Times New Roman" w:hAnsi="Verdana" w:cs="Arial"/>
          <w:lang w:eastAsia="es-CO"/>
        </w:rPr>
        <w:t xml:space="preserve"> </w:t>
      </w:r>
      <w:r w:rsidRPr="00B406D7">
        <w:rPr>
          <w:rFonts w:ascii="Verdana" w:hAnsi="Verdana" w:cs="Arial"/>
        </w:rPr>
        <w:t xml:space="preserve">del conjunto de datos publicados por la Agencia Nacional de Contratación Pública – Colombia Compra Eficiente, los cuales se encuentran disponibles en el portal de Datos Abiertos. </w:t>
      </w:r>
    </w:p>
    <w:p w14:paraId="1E7754E6" w14:textId="4A82A81A" w:rsidR="00E35B3C" w:rsidRPr="00B406D7" w:rsidRDefault="00500582" w:rsidP="00E35B3C">
      <w:pPr>
        <w:snapToGrid w:val="0"/>
        <w:spacing w:after="0" w:line="240" w:lineRule="auto"/>
        <w:jc w:val="both"/>
        <w:rPr>
          <w:rFonts w:ascii="Verdana" w:hAnsi="Verdana" w:cs="Arial"/>
        </w:rPr>
      </w:pPr>
      <w:r w:rsidRPr="00B406D7">
        <w:rPr>
          <w:rFonts w:ascii="Verdana" w:hAnsi="Verdana" w:cs="Arial"/>
        </w:rPr>
        <w:t>Inicialmente, se exponen y analizan los volúmenes de contratos y sus montos totales asociados al sector de gasto e inversión denominado Transporte</w:t>
      </w:r>
      <w:r w:rsidR="006222EC" w:rsidRPr="00B406D7">
        <w:rPr>
          <w:rFonts w:ascii="Verdana" w:hAnsi="Verdana" w:cs="Arial"/>
        </w:rPr>
        <w:t xml:space="preserve">, </w:t>
      </w:r>
      <w:r w:rsidRPr="00B406D7">
        <w:rPr>
          <w:rFonts w:ascii="Verdana" w:hAnsi="Verdana" w:cs="Arial"/>
        </w:rPr>
        <w:t>conforme a su distribución anual, de las vigencias 2021, 2022 y 202</w:t>
      </w:r>
      <w:r w:rsidR="00057D78" w:rsidRPr="00B406D7">
        <w:rPr>
          <w:rFonts w:ascii="Verdana" w:hAnsi="Verdana" w:cs="Arial"/>
        </w:rPr>
        <w:t>3</w:t>
      </w:r>
      <w:r w:rsidR="00057D78" w:rsidRPr="00B406D7">
        <w:rPr>
          <w:rStyle w:val="Refdenotaalpie"/>
          <w:rFonts w:ascii="Verdana" w:hAnsi="Verdana" w:cs="Arial"/>
        </w:rPr>
        <w:footnoteReference w:id="7"/>
      </w:r>
      <w:r w:rsidR="00057D78" w:rsidRPr="00B406D7">
        <w:rPr>
          <w:rFonts w:ascii="Verdana" w:hAnsi="Verdana" w:cs="Arial"/>
        </w:rPr>
        <w:t>:</w:t>
      </w:r>
    </w:p>
    <w:p w14:paraId="22BE1B73" w14:textId="77777777" w:rsidR="00057D78" w:rsidRPr="00B406D7" w:rsidRDefault="00057D78" w:rsidP="00E35B3C">
      <w:pPr>
        <w:snapToGrid w:val="0"/>
        <w:spacing w:after="0" w:line="240" w:lineRule="auto"/>
        <w:jc w:val="both"/>
        <w:rPr>
          <w:rFonts w:ascii="Verdana" w:hAnsi="Verdana" w:cs="Arial"/>
        </w:rPr>
      </w:pPr>
    </w:p>
    <w:p w14:paraId="3E6E9632" w14:textId="11A35C53" w:rsidR="00500582" w:rsidRPr="00B406D7" w:rsidRDefault="00500582" w:rsidP="00081F52">
      <w:pPr>
        <w:pStyle w:val="Descripcin"/>
        <w:rPr>
          <w:sz w:val="22"/>
          <w:szCs w:val="22"/>
        </w:rPr>
      </w:pPr>
      <w:r w:rsidRPr="00D72AC2">
        <w:rPr>
          <w:b/>
          <w:bCs/>
        </w:rPr>
        <w:t>Tabla</w:t>
      </w:r>
      <w:r w:rsidR="00FD41D3" w:rsidRPr="00D72AC2">
        <w:rPr>
          <w:b/>
          <w:bCs/>
        </w:rPr>
        <w:t xml:space="preserve"> 1</w:t>
      </w:r>
      <w:r w:rsidRPr="00D72AC2">
        <w:rPr>
          <w:b/>
          <w:bCs/>
        </w:rPr>
        <w:t>.</w:t>
      </w:r>
      <w:r w:rsidRPr="00D72AC2">
        <w:t xml:space="preserve"> Valores y número de contratos por vigencias 2021, 2022 y 2023, Sector Transporte</w:t>
      </w:r>
      <w:r w:rsidRPr="00B406D7">
        <w:rPr>
          <w:sz w:val="22"/>
          <w:szCs w:val="22"/>
        </w:rPr>
        <w:t>.</w:t>
      </w:r>
    </w:p>
    <w:p w14:paraId="3384C778" w14:textId="77777777" w:rsidR="00500582" w:rsidRPr="00B406D7" w:rsidRDefault="00500582" w:rsidP="00081F52">
      <w:pPr>
        <w:spacing w:after="0"/>
        <w:jc w:val="center"/>
        <w:rPr>
          <w:rFonts w:ascii="Verdana" w:hAnsi="Verdana"/>
        </w:rPr>
      </w:pPr>
      <w:r w:rsidRPr="00B406D7">
        <w:rPr>
          <w:rFonts w:ascii="Verdana" w:hAnsi="Verdana"/>
          <w:noProof/>
        </w:rPr>
        <w:drawing>
          <wp:inline distT="0" distB="0" distL="0" distR="0" wp14:anchorId="6BE2F11C" wp14:editId="7C48B914">
            <wp:extent cx="4387850" cy="952500"/>
            <wp:effectExtent l="0" t="0" r="0" b="0"/>
            <wp:docPr id="1111068206"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7850" cy="952500"/>
                    </a:xfrm>
                    <a:prstGeom prst="rect">
                      <a:avLst/>
                    </a:prstGeom>
                    <a:noFill/>
                    <a:ln>
                      <a:noFill/>
                    </a:ln>
                  </pic:spPr>
                </pic:pic>
              </a:graphicData>
            </a:graphic>
          </wp:inline>
        </w:drawing>
      </w:r>
    </w:p>
    <w:p w14:paraId="07E50F21" w14:textId="77777777" w:rsidR="00500582" w:rsidRDefault="00500582" w:rsidP="00081F52">
      <w:pPr>
        <w:spacing w:after="0"/>
        <w:jc w:val="center"/>
        <w:rPr>
          <w:rFonts w:ascii="Verdana" w:hAnsi="Verdana" w:cs="Arial"/>
          <w:i/>
          <w:color w:val="000000" w:themeColor="text1"/>
          <w:sz w:val="18"/>
          <w:szCs w:val="18"/>
        </w:rPr>
      </w:pPr>
      <w:r w:rsidRPr="00D72AC2">
        <w:rPr>
          <w:rFonts w:ascii="Verdana" w:hAnsi="Verdana" w:cs="Arial"/>
          <w:i/>
          <w:color w:val="000000" w:themeColor="text1"/>
          <w:sz w:val="18"/>
          <w:szCs w:val="18"/>
        </w:rPr>
        <w:t>Fuente: Sistema Electrónico para la Contratación Pública</w:t>
      </w:r>
    </w:p>
    <w:p w14:paraId="1500141A" w14:textId="77777777" w:rsidR="00081F52" w:rsidRPr="00D72AC2" w:rsidRDefault="00081F52" w:rsidP="00081F52">
      <w:pPr>
        <w:spacing w:after="0"/>
        <w:jc w:val="center"/>
        <w:rPr>
          <w:rFonts w:ascii="Verdana" w:hAnsi="Verdana" w:cs="Arial"/>
          <w:i/>
          <w:iCs/>
          <w:color w:val="000000" w:themeColor="text1"/>
          <w:sz w:val="18"/>
          <w:szCs w:val="18"/>
        </w:rPr>
      </w:pPr>
    </w:p>
    <w:p w14:paraId="798211DE" w14:textId="78635FB5" w:rsidR="00500582" w:rsidRPr="00B406D7" w:rsidRDefault="00500582" w:rsidP="004A243A">
      <w:pPr>
        <w:spacing w:after="0" w:line="240" w:lineRule="auto"/>
        <w:jc w:val="both"/>
        <w:rPr>
          <w:rFonts w:ascii="Verdana" w:hAnsi="Verdana" w:cs="Arial"/>
        </w:rPr>
      </w:pPr>
      <w:r w:rsidRPr="00B406D7">
        <w:rPr>
          <w:rFonts w:ascii="Verdana" w:hAnsi="Verdana" w:cs="Arial"/>
        </w:rPr>
        <w:lastRenderedPageBreak/>
        <w:t>Durante las vigencias 2021, 2022 y 2023, los contratos asociados al Sector Transporte registrados en</w:t>
      </w:r>
      <w:r w:rsidR="00057D78" w:rsidRPr="00B406D7">
        <w:rPr>
          <w:rFonts w:ascii="Verdana" w:hAnsi="Verdana" w:cs="Arial"/>
        </w:rPr>
        <w:t xml:space="preserve"> el</w:t>
      </w:r>
      <w:r w:rsidRPr="00B406D7">
        <w:rPr>
          <w:rFonts w:ascii="Verdana" w:hAnsi="Verdana" w:cs="Arial"/>
        </w:rPr>
        <w:t xml:space="preserve"> SECOP I y II fueron 11.322 y sumaron un valor total de $26,7 billones de pesos. </w:t>
      </w:r>
    </w:p>
    <w:p w14:paraId="24E7F00D" w14:textId="77777777" w:rsidR="004A243A" w:rsidRPr="00B406D7" w:rsidRDefault="004A243A" w:rsidP="004A243A">
      <w:pPr>
        <w:spacing w:after="0" w:line="240" w:lineRule="auto"/>
        <w:jc w:val="both"/>
        <w:rPr>
          <w:rFonts w:ascii="Verdana" w:hAnsi="Verdana" w:cs="Arial"/>
        </w:rPr>
      </w:pPr>
    </w:p>
    <w:p w14:paraId="62DD4E1E" w14:textId="776B8222" w:rsidR="004A243A" w:rsidRPr="00B406D7" w:rsidRDefault="003D245B" w:rsidP="004A243A">
      <w:pPr>
        <w:spacing w:after="0" w:line="240" w:lineRule="auto"/>
        <w:jc w:val="both"/>
        <w:rPr>
          <w:rFonts w:ascii="Verdana" w:hAnsi="Verdana" w:cs="Arial"/>
        </w:rPr>
      </w:pPr>
      <w:r w:rsidRPr="00B406D7">
        <w:rPr>
          <w:rFonts w:ascii="Verdana" w:hAnsi="Verdana" w:cs="Arial"/>
        </w:rPr>
        <w:t>Al observar la distribución de los montos y el volumen de los contratos en las distintas vigencias, en 2021 se registraron 3.484 contratos con una cuantía de $7.6 billones de pesos; en 2022 se registraron 3.850 contratos por una cuantía de $9 billones de pesos y en 2023 3.988 contratos por 10 billones de pesos.</w:t>
      </w:r>
    </w:p>
    <w:p w14:paraId="3A830904" w14:textId="77777777" w:rsidR="003D245B" w:rsidRPr="00B406D7" w:rsidRDefault="003D245B" w:rsidP="004A243A">
      <w:pPr>
        <w:spacing w:after="0" w:line="240" w:lineRule="auto"/>
        <w:jc w:val="both"/>
        <w:rPr>
          <w:rFonts w:ascii="Verdana" w:hAnsi="Verdana" w:cs="Arial"/>
        </w:rPr>
      </w:pPr>
    </w:p>
    <w:p w14:paraId="749E3713" w14:textId="77777777" w:rsidR="00500582" w:rsidRPr="00B406D7" w:rsidRDefault="00500582" w:rsidP="004A243A">
      <w:pPr>
        <w:spacing w:after="0" w:line="240" w:lineRule="auto"/>
        <w:jc w:val="both"/>
        <w:rPr>
          <w:rFonts w:ascii="Verdana" w:hAnsi="Verdana" w:cs="Arial"/>
        </w:rPr>
      </w:pPr>
      <w:r w:rsidRPr="00B406D7">
        <w:rPr>
          <w:rFonts w:ascii="Verdana" w:hAnsi="Verdana" w:cs="Arial"/>
        </w:rPr>
        <w:t>Esto representó un aumento del 10,5% en el número de contratos y un 18% en valor total de 2021 comparado con la vigencia 2022. En tanto el año 2022 frente al 2023 presentó un aumento más moderado de cerca del 11,4% del valor total y de 3,6% en la cantidad de contratos.</w:t>
      </w:r>
    </w:p>
    <w:p w14:paraId="3D47DBFF" w14:textId="77777777" w:rsidR="004A243A" w:rsidRPr="00B406D7" w:rsidRDefault="004A243A" w:rsidP="004A243A">
      <w:pPr>
        <w:spacing w:after="0" w:line="240" w:lineRule="auto"/>
        <w:jc w:val="both"/>
        <w:rPr>
          <w:rFonts w:ascii="Verdana" w:hAnsi="Verdana" w:cs="Arial"/>
        </w:rPr>
      </w:pPr>
    </w:p>
    <w:p w14:paraId="74B3DBD2" w14:textId="35D596D3" w:rsidR="00500582" w:rsidRPr="00B406D7" w:rsidRDefault="00500582" w:rsidP="004A243A">
      <w:pPr>
        <w:spacing w:after="0" w:line="240" w:lineRule="auto"/>
        <w:jc w:val="both"/>
        <w:rPr>
          <w:rFonts w:ascii="Verdana" w:hAnsi="Verdana" w:cs="Arial"/>
        </w:rPr>
      </w:pPr>
      <w:r w:rsidRPr="00B406D7">
        <w:rPr>
          <w:rFonts w:ascii="Verdana" w:hAnsi="Verdana" w:cs="Arial"/>
        </w:rPr>
        <w:t xml:space="preserve">Algunos rasgos del progresivo aumento interanual de los valores totales registrados pueden tener razón en tres elementos: el respectivo aumento en el número de contratos, explícito en la Tabla </w:t>
      </w:r>
      <w:r w:rsidR="00FD41D3" w:rsidRPr="00B406D7">
        <w:rPr>
          <w:rFonts w:ascii="Verdana" w:hAnsi="Verdana" w:cs="Arial"/>
        </w:rPr>
        <w:t>1</w:t>
      </w:r>
      <w:r w:rsidRPr="00B406D7">
        <w:rPr>
          <w:rFonts w:ascii="Verdana" w:hAnsi="Verdana" w:cs="Arial"/>
        </w:rPr>
        <w:t>; seguido en menor medida de la variación de inflación anual registrada entre las vigencias estudiadas, incluidas las variaciones relacionadas con la postpandemia</w:t>
      </w:r>
      <w:r w:rsidRPr="00B406D7">
        <w:rPr>
          <w:rStyle w:val="Refdenotaalpie"/>
          <w:rFonts w:ascii="Verdana" w:hAnsi="Verdana" w:cs="Arial"/>
        </w:rPr>
        <w:footnoteReference w:id="8"/>
      </w:r>
      <w:r w:rsidRPr="00B406D7">
        <w:rPr>
          <w:rFonts w:ascii="Verdana" w:hAnsi="Verdana" w:cs="Arial"/>
        </w:rPr>
        <w:t>, adicional a la reducción de esta variación entre 2022 y 2023.</w:t>
      </w:r>
    </w:p>
    <w:p w14:paraId="215C4F07" w14:textId="77777777" w:rsidR="004A243A" w:rsidRPr="00B406D7" w:rsidRDefault="004A243A" w:rsidP="004A243A">
      <w:pPr>
        <w:spacing w:after="0" w:line="240" w:lineRule="auto"/>
        <w:jc w:val="both"/>
        <w:rPr>
          <w:rFonts w:ascii="Verdana" w:hAnsi="Verdana" w:cs="Arial"/>
        </w:rPr>
      </w:pPr>
    </w:p>
    <w:p w14:paraId="3304F450" w14:textId="77777777" w:rsidR="00500582" w:rsidRPr="00B406D7" w:rsidRDefault="00500582" w:rsidP="004A243A">
      <w:pPr>
        <w:spacing w:after="0" w:line="240" w:lineRule="auto"/>
        <w:jc w:val="both"/>
        <w:rPr>
          <w:rFonts w:ascii="Verdana" w:hAnsi="Verdana" w:cs="Arial"/>
        </w:rPr>
      </w:pPr>
      <w:r w:rsidRPr="00B406D7">
        <w:rPr>
          <w:rFonts w:ascii="Verdana" w:hAnsi="Verdana" w:cs="Arial"/>
        </w:rPr>
        <w:t xml:space="preserve">Y una tercera razón para la variación entre 2022 y 2023 se extrae al realizar el cálculo en deciles según los valores de contratos. La cota inferior del decil superior (un grupo de contratos cuyas cuantías son superiores al 90% de los restantes) es de poco más de $3 mil millones de pesos y la superior es de aproximadamente $630 mil millones, el valor del contrato más grande según la información analizada. A partir de esta información se estudian los contratos cuyas cuantías se ubican entre estas dos cotas. </w:t>
      </w:r>
    </w:p>
    <w:p w14:paraId="44927EE2" w14:textId="77777777" w:rsidR="004A243A" w:rsidRPr="00B406D7" w:rsidRDefault="004A243A" w:rsidP="004A243A">
      <w:pPr>
        <w:spacing w:after="0" w:line="240" w:lineRule="auto"/>
        <w:jc w:val="both"/>
        <w:rPr>
          <w:rFonts w:ascii="Verdana" w:hAnsi="Verdana" w:cs="Arial"/>
        </w:rPr>
      </w:pPr>
    </w:p>
    <w:p w14:paraId="601D5FA0" w14:textId="7E35C6E2" w:rsidR="00500582" w:rsidRPr="00B406D7" w:rsidRDefault="00031180" w:rsidP="004A243A">
      <w:pPr>
        <w:spacing w:after="0" w:line="240" w:lineRule="auto"/>
        <w:jc w:val="both"/>
        <w:rPr>
          <w:rFonts w:ascii="Verdana" w:hAnsi="Verdana" w:cs="Arial"/>
        </w:rPr>
      </w:pPr>
      <w:r w:rsidRPr="00B406D7">
        <w:rPr>
          <w:rFonts w:ascii="Verdana" w:hAnsi="Verdana" w:cs="Arial"/>
        </w:rPr>
        <w:t xml:space="preserve">El decil superior lo integran 1.133 contratos, de los que 433 son contratos de la vigencia 2023 y 405 de la vigencia 2022, es decir, los de 2023 tienen tres puntos más en la participación del 10% de contratos con cuantías superiores. </w:t>
      </w:r>
      <w:r w:rsidR="00500582" w:rsidRPr="00B406D7">
        <w:rPr>
          <w:rFonts w:ascii="Verdana" w:hAnsi="Verdana" w:cs="Arial"/>
        </w:rPr>
        <w:t>De lo anterior se puede deducir que la variación 2022-2023 no s</w:t>
      </w:r>
      <w:r w:rsidR="0031790D" w:rsidRPr="00B406D7">
        <w:rPr>
          <w:rFonts w:ascii="Verdana" w:hAnsi="Verdana" w:cs="Arial"/>
        </w:rPr>
        <w:t>o</w:t>
      </w:r>
      <w:r w:rsidR="00500582" w:rsidRPr="00B406D7">
        <w:rPr>
          <w:rFonts w:ascii="Verdana" w:hAnsi="Verdana" w:cs="Arial"/>
        </w:rPr>
        <w:t xml:space="preserve">lo se explica según el mayor número de contratos que la vigencia 2023 tiene respecto a la 2022, sino también por el mayor tamaño de contratos. </w:t>
      </w:r>
    </w:p>
    <w:p w14:paraId="68C06AD8" w14:textId="77777777" w:rsidR="004A243A" w:rsidRPr="00B406D7" w:rsidRDefault="004A243A" w:rsidP="004A243A">
      <w:pPr>
        <w:spacing w:after="0" w:line="240" w:lineRule="auto"/>
        <w:jc w:val="both"/>
        <w:rPr>
          <w:rFonts w:ascii="Verdana" w:hAnsi="Verdana" w:cs="Arial"/>
        </w:rPr>
      </w:pPr>
    </w:p>
    <w:p w14:paraId="61EA70AA" w14:textId="77777777" w:rsidR="00500582" w:rsidRPr="00B406D7" w:rsidRDefault="00500582" w:rsidP="004A243A">
      <w:pPr>
        <w:pStyle w:val="Ttulo2"/>
        <w:numPr>
          <w:ilvl w:val="0"/>
          <w:numId w:val="20"/>
        </w:numPr>
        <w:spacing w:line="240" w:lineRule="auto"/>
        <w:jc w:val="both"/>
        <w:rPr>
          <w:rFonts w:ascii="Verdana" w:hAnsi="Verdana" w:cs="Arial"/>
          <w:b/>
          <w:bCs/>
          <w:color w:val="000000" w:themeColor="text1"/>
          <w:sz w:val="22"/>
          <w:szCs w:val="22"/>
        </w:rPr>
      </w:pPr>
      <w:bookmarkStart w:id="1" w:name="_Toc161653010"/>
      <w:r w:rsidRPr="00B406D7">
        <w:rPr>
          <w:rFonts w:ascii="Verdana" w:hAnsi="Verdana" w:cs="Arial"/>
          <w:b/>
          <w:bCs/>
          <w:color w:val="000000" w:themeColor="text1"/>
          <w:sz w:val="22"/>
          <w:szCs w:val="22"/>
        </w:rPr>
        <w:t>Uso de plataformas:</w:t>
      </w:r>
      <w:bookmarkEnd w:id="1"/>
    </w:p>
    <w:p w14:paraId="2E59D7E9" w14:textId="77777777" w:rsidR="00AC74CF" w:rsidRPr="00B406D7" w:rsidRDefault="00AC74CF" w:rsidP="004A243A">
      <w:pPr>
        <w:spacing w:after="0" w:line="240" w:lineRule="auto"/>
        <w:jc w:val="both"/>
        <w:rPr>
          <w:rFonts w:ascii="Verdana" w:hAnsi="Verdana" w:cs="Arial"/>
        </w:rPr>
      </w:pPr>
    </w:p>
    <w:p w14:paraId="79F1070A" w14:textId="3F749562" w:rsidR="00500582" w:rsidRPr="00B406D7" w:rsidRDefault="00AC74CF" w:rsidP="004A243A">
      <w:pPr>
        <w:spacing w:after="0" w:line="240" w:lineRule="auto"/>
        <w:jc w:val="both"/>
        <w:rPr>
          <w:rFonts w:ascii="Verdana" w:hAnsi="Verdana" w:cs="Arial"/>
        </w:rPr>
      </w:pPr>
      <w:r w:rsidRPr="00B406D7">
        <w:rPr>
          <w:rFonts w:ascii="Verdana" w:hAnsi="Verdana" w:cs="Arial"/>
        </w:rPr>
        <w:t>Según el informe</w:t>
      </w:r>
      <w:r w:rsidR="00651897" w:rsidRPr="00B406D7">
        <w:rPr>
          <w:rFonts w:ascii="Verdana" w:hAnsi="Verdana" w:cs="Arial"/>
        </w:rPr>
        <w:t xml:space="preserve"> de la </w:t>
      </w:r>
      <w:r w:rsidR="00651897" w:rsidRPr="00B406D7">
        <w:rPr>
          <w:rFonts w:ascii="Verdana" w:eastAsia="Calibri" w:hAnsi="Verdana" w:cs="Arial"/>
        </w:rPr>
        <w:t>Subdirección de Estudios de Mercado y Abastecimiento Estratégico</w:t>
      </w:r>
      <w:r w:rsidRPr="00B406D7">
        <w:rPr>
          <w:rFonts w:ascii="Verdana" w:hAnsi="Verdana" w:cs="Arial"/>
        </w:rPr>
        <w:t>, también</w:t>
      </w:r>
      <w:r w:rsidR="00500582" w:rsidRPr="00B406D7">
        <w:rPr>
          <w:rFonts w:ascii="Verdana" w:hAnsi="Verdana" w:cs="Arial"/>
        </w:rPr>
        <w:t xml:space="preserve"> se observa el uso de las plataformas del Sistema Electrónico de Contratación Pública durante las vigencias 2021, 2022 y 2023 en los contratos </w:t>
      </w:r>
      <w:r w:rsidR="00500582" w:rsidRPr="00B406D7">
        <w:rPr>
          <w:rFonts w:ascii="Verdana" w:hAnsi="Verdana" w:cs="Arial"/>
        </w:rPr>
        <w:lastRenderedPageBreak/>
        <w:t xml:space="preserve">observados del </w:t>
      </w:r>
      <w:r w:rsidR="00B862B1" w:rsidRPr="00B406D7">
        <w:rPr>
          <w:rFonts w:ascii="Verdana" w:hAnsi="Verdana" w:cs="Arial"/>
        </w:rPr>
        <w:t>Se</w:t>
      </w:r>
      <w:r w:rsidR="00500582" w:rsidRPr="00B406D7">
        <w:rPr>
          <w:rFonts w:ascii="Verdana" w:hAnsi="Verdana" w:cs="Arial"/>
        </w:rPr>
        <w:t xml:space="preserve">ctor de </w:t>
      </w:r>
      <w:r w:rsidR="00B862B1" w:rsidRPr="00B406D7">
        <w:rPr>
          <w:rFonts w:ascii="Verdana" w:hAnsi="Verdana" w:cs="Arial"/>
        </w:rPr>
        <w:t>T</w:t>
      </w:r>
      <w:r w:rsidR="00500582" w:rsidRPr="00B406D7">
        <w:rPr>
          <w:rFonts w:ascii="Verdana" w:hAnsi="Verdana" w:cs="Arial"/>
        </w:rPr>
        <w:t>ransporte en los que se hizo uso de</w:t>
      </w:r>
      <w:r w:rsidR="00054A88" w:rsidRPr="00B406D7">
        <w:rPr>
          <w:rFonts w:ascii="Verdana" w:hAnsi="Verdana" w:cs="Arial"/>
        </w:rPr>
        <w:t>l</w:t>
      </w:r>
      <w:r w:rsidR="00500582" w:rsidRPr="00B406D7">
        <w:rPr>
          <w:rFonts w:ascii="Verdana" w:hAnsi="Verdana" w:cs="Arial"/>
        </w:rPr>
        <w:t xml:space="preserve"> SECOP I y II en las siguientes </w:t>
      </w:r>
      <w:r w:rsidR="00E0142F" w:rsidRPr="00B406D7">
        <w:rPr>
          <w:rFonts w:ascii="Verdana" w:hAnsi="Verdana" w:cs="Arial"/>
        </w:rPr>
        <w:t>magnitudes</w:t>
      </w:r>
      <w:r w:rsidR="00BE053D" w:rsidRPr="00B406D7">
        <w:rPr>
          <w:rStyle w:val="Refdenotaalpie"/>
          <w:rFonts w:ascii="Verdana" w:hAnsi="Verdana" w:cs="Arial"/>
        </w:rPr>
        <w:footnoteReference w:id="9"/>
      </w:r>
      <w:r w:rsidR="00BE053D" w:rsidRPr="00B406D7">
        <w:rPr>
          <w:rFonts w:ascii="Verdana" w:hAnsi="Verdana" w:cs="Arial"/>
        </w:rPr>
        <w:t xml:space="preserve">: </w:t>
      </w:r>
      <w:r w:rsidR="00500582" w:rsidRPr="00B406D7">
        <w:rPr>
          <w:rFonts w:ascii="Verdana" w:hAnsi="Verdana" w:cs="Arial"/>
        </w:rPr>
        <w:t xml:space="preserve"> </w:t>
      </w:r>
    </w:p>
    <w:p w14:paraId="6C8571A5" w14:textId="77777777" w:rsidR="004A243A" w:rsidRPr="00B406D7" w:rsidRDefault="004A243A" w:rsidP="004A243A">
      <w:pPr>
        <w:spacing w:after="0" w:line="240" w:lineRule="auto"/>
        <w:jc w:val="both"/>
        <w:rPr>
          <w:rFonts w:ascii="Verdana" w:hAnsi="Verdana" w:cs="Arial"/>
        </w:rPr>
      </w:pPr>
    </w:p>
    <w:p w14:paraId="2EA8104E" w14:textId="3E273263" w:rsidR="00500582" w:rsidRPr="00081F52" w:rsidRDefault="00500582" w:rsidP="00081F52">
      <w:pPr>
        <w:pStyle w:val="Descripcin"/>
        <w:spacing w:after="0"/>
      </w:pPr>
      <w:r w:rsidRPr="00081F52">
        <w:t>Gráfic</w:t>
      </w:r>
      <w:r w:rsidR="00D3618C" w:rsidRPr="00081F52">
        <w:t>o</w:t>
      </w:r>
      <w:r w:rsidR="00FD41D3" w:rsidRPr="00081F52">
        <w:t xml:space="preserve"> 1. </w:t>
      </w:r>
      <w:r w:rsidRPr="00081F52">
        <w:t>Valores según uso de Plataforma, 2021-2023, Sector Transporte.</w:t>
      </w:r>
    </w:p>
    <w:p w14:paraId="00865BFA" w14:textId="77777777" w:rsidR="00500582" w:rsidRPr="00B406D7" w:rsidRDefault="00500582" w:rsidP="00081F52">
      <w:pPr>
        <w:spacing w:after="0"/>
        <w:jc w:val="center"/>
        <w:rPr>
          <w:rFonts w:ascii="Verdana" w:hAnsi="Verdana"/>
        </w:rPr>
      </w:pPr>
      <w:r w:rsidRPr="00B406D7">
        <w:rPr>
          <w:rFonts w:ascii="Verdana" w:hAnsi="Verdana"/>
          <w:noProof/>
        </w:rPr>
        <w:drawing>
          <wp:inline distT="0" distB="0" distL="0" distR="0" wp14:anchorId="0CF1227D" wp14:editId="19C4D062">
            <wp:extent cx="4927600" cy="2774950"/>
            <wp:effectExtent l="0" t="0" r="6350" b="6350"/>
            <wp:docPr id="154913142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27600" cy="2774950"/>
                    </a:xfrm>
                    <a:prstGeom prst="rect">
                      <a:avLst/>
                    </a:prstGeom>
                    <a:noFill/>
                    <a:ln>
                      <a:noFill/>
                    </a:ln>
                  </pic:spPr>
                </pic:pic>
              </a:graphicData>
            </a:graphic>
          </wp:inline>
        </w:drawing>
      </w:r>
    </w:p>
    <w:p w14:paraId="3D833EEB" w14:textId="77777777" w:rsidR="00500582" w:rsidRPr="00081F52" w:rsidRDefault="00500582" w:rsidP="00081F52">
      <w:pPr>
        <w:spacing w:after="0"/>
        <w:jc w:val="center"/>
        <w:rPr>
          <w:rFonts w:ascii="Verdana" w:hAnsi="Verdana" w:cs="Arial"/>
          <w:i/>
          <w:iCs/>
          <w:color w:val="000000" w:themeColor="text1"/>
          <w:sz w:val="16"/>
          <w:szCs w:val="16"/>
        </w:rPr>
      </w:pPr>
      <w:r w:rsidRPr="00081F52">
        <w:rPr>
          <w:rFonts w:ascii="Verdana" w:hAnsi="Verdana" w:cs="Arial"/>
          <w:i/>
          <w:color w:val="000000" w:themeColor="text1"/>
          <w:sz w:val="16"/>
          <w:szCs w:val="16"/>
        </w:rPr>
        <w:t>Fuente: Sistema Electrónico para la Contratación Pública</w:t>
      </w:r>
    </w:p>
    <w:p w14:paraId="1DA112B4" w14:textId="77777777" w:rsidR="004A243A" w:rsidRPr="00B406D7" w:rsidRDefault="004A243A" w:rsidP="004A243A">
      <w:pPr>
        <w:spacing w:after="0" w:line="240" w:lineRule="auto"/>
        <w:jc w:val="both"/>
        <w:rPr>
          <w:rFonts w:ascii="Verdana" w:hAnsi="Verdana" w:cs="Arial"/>
        </w:rPr>
      </w:pPr>
    </w:p>
    <w:p w14:paraId="6F118095" w14:textId="3F4EA45D" w:rsidR="00500582" w:rsidRPr="00B406D7" w:rsidRDefault="00500582" w:rsidP="004A243A">
      <w:pPr>
        <w:spacing w:after="0" w:line="240" w:lineRule="auto"/>
        <w:jc w:val="both"/>
        <w:rPr>
          <w:rFonts w:ascii="Verdana" w:hAnsi="Verdana" w:cs="Arial"/>
        </w:rPr>
      </w:pPr>
      <w:r w:rsidRPr="00B406D7">
        <w:rPr>
          <w:rFonts w:ascii="Verdana" w:hAnsi="Verdana" w:cs="Arial"/>
        </w:rPr>
        <w:t>A través de</w:t>
      </w:r>
      <w:r w:rsidR="00BE053D" w:rsidRPr="00B406D7">
        <w:rPr>
          <w:rFonts w:ascii="Verdana" w:hAnsi="Verdana" w:cs="Arial"/>
        </w:rPr>
        <w:t xml:space="preserve">l </w:t>
      </w:r>
      <w:r w:rsidRPr="00B406D7">
        <w:rPr>
          <w:rFonts w:ascii="Verdana" w:hAnsi="Verdana" w:cs="Arial"/>
        </w:rPr>
        <w:t>SECOP II se contrataron los mayores montos por un valor de $18 billones, representativos del 68% de la contratación del sector. En tanto que, a través de</w:t>
      </w:r>
      <w:r w:rsidR="00471858" w:rsidRPr="00B406D7">
        <w:rPr>
          <w:rFonts w:ascii="Verdana" w:hAnsi="Verdana" w:cs="Arial"/>
        </w:rPr>
        <w:t>l</w:t>
      </w:r>
      <w:r w:rsidRPr="00B406D7">
        <w:rPr>
          <w:rFonts w:ascii="Verdana" w:hAnsi="Verdana" w:cs="Arial"/>
        </w:rPr>
        <w:t xml:space="preserve"> SECOP I se contrataron $8,6 billones, que representan el 32% de los valores totales del sector.</w:t>
      </w:r>
    </w:p>
    <w:p w14:paraId="798FE0EB" w14:textId="77777777" w:rsidR="004A243A" w:rsidRPr="00B406D7" w:rsidRDefault="004A243A" w:rsidP="004A243A">
      <w:pPr>
        <w:spacing w:after="0" w:line="240" w:lineRule="auto"/>
        <w:jc w:val="both"/>
        <w:rPr>
          <w:rFonts w:ascii="Verdana" w:hAnsi="Verdana" w:cs="Arial"/>
        </w:rPr>
      </w:pPr>
    </w:p>
    <w:p w14:paraId="0D7EB6D0" w14:textId="77777777" w:rsidR="00500582" w:rsidRPr="00B406D7" w:rsidRDefault="00500582" w:rsidP="004A243A">
      <w:pPr>
        <w:pStyle w:val="Ttulo2"/>
        <w:numPr>
          <w:ilvl w:val="0"/>
          <w:numId w:val="20"/>
        </w:numPr>
        <w:spacing w:line="240" w:lineRule="auto"/>
        <w:jc w:val="both"/>
        <w:rPr>
          <w:rFonts w:ascii="Verdana" w:hAnsi="Verdana" w:cs="Arial"/>
          <w:b/>
          <w:bCs/>
          <w:color w:val="000000" w:themeColor="text1"/>
          <w:sz w:val="22"/>
          <w:szCs w:val="22"/>
        </w:rPr>
      </w:pPr>
      <w:bookmarkStart w:id="2" w:name="_Toc161653011"/>
      <w:r w:rsidRPr="00B406D7">
        <w:rPr>
          <w:rFonts w:ascii="Verdana" w:hAnsi="Verdana" w:cs="Arial"/>
          <w:b/>
          <w:bCs/>
          <w:color w:val="000000" w:themeColor="text1"/>
          <w:sz w:val="22"/>
          <w:szCs w:val="22"/>
        </w:rPr>
        <w:t>Modalidad de selección:</w:t>
      </w:r>
      <w:bookmarkEnd w:id="2"/>
    </w:p>
    <w:p w14:paraId="623FB819" w14:textId="77777777" w:rsidR="004800EF" w:rsidRPr="00B406D7" w:rsidRDefault="004800EF" w:rsidP="004A243A">
      <w:pPr>
        <w:spacing w:after="0" w:line="240" w:lineRule="auto"/>
        <w:jc w:val="both"/>
        <w:rPr>
          <w:rFonts w:ascii="Verdana" w:hAnsi="Verdana" w:cs="Arial"/>
        </w:rPr>
      </w:pPr>
    </w:p>
    <w:p w14:paraId="51380594" w14:textId="1B4F8062" w:rsidR="00500582" w:rsidRPr="00B406D7" w:rsidRDefault="004800EF" w:rsidP="004A243A">
      <w:pPr>
        <w:spacing w:after="0" w:line="240" w:lineRule="auto"/>
        <w:jc w:val="both"/>
        <w:rPr>
          <w:rFonts w:ascii="Verdana" w:hAnsi="Verdana" w:cs="Arial"/>
        </w:rPr>
      </w:pPr>
      <w:r w:rsidRPr="00B406D7">
        <w:rPr>
          <w:rFonts w:ascii="Verdana" w:hAnsi="Verdana" w:cs="Arial"/>
        </w:rPr>
        <w:t>Se</w:t>
      </w:r>
      <w:r w:rsidR="00500582" w:rsidRPr="00B406D7">
        <w:rPr>
          <w:rFonts w:ascii="Verdana" w:hAnsi="Verdana" w:cs="Arial"/>
        </w:rPr>
        <w:t xml:space="preserve"> analiz</w:t>
      </w:r>
      <w:r w:rsidRPr="00B406D7">
        <w:rPr>
          <w:rFonts w:ascii="Verdana" w:hAnsi="Verdana" w:cs="Arial"/>
        </w:rPr>
        <w:t>ó</w:t>
      </w:r>
      <w:r w:rsidR="00500582" w:rsidRPr="00B406D7">
        <w:rPr>
          <w:rFonts w:ascii="Verdana" w:hAnsi="Verdana" w:cs="Arial"/>
        </w:rPr>
        <w:t xml:space="preserve"> en las 3 vigencias el uso de las modalidades de selección por parte de las entidades públicas en el </w:t>
      </w:r>
      <w:r w:rsidRPr="00B406D7">
        <w:rPr>
          <w:rFonts w:ascii="Verdana" w:hAnsi="Verdana" w:cs="Arial"/>
        </w:rPr>
        <w:t>S</w:t>
      </w:r>
      <w:r w:rsidR="00500582" w:rsidRPr="00B406D7">
        <w:rPr>
          <w:rFonts w:ascii="Verdana" w:hAnsi="Verdana" w:cs="Arial"/>
        </w:rPr>
        <w:t xml:space="preserve">ector </w:t>
      </w:r>
      <w:r w:rsidRPr="00B406D7">
        <w:rPr>
          <w:rFonts w:ascii="Verdana" w:hAnsi="Verdana" w:cs="Arial"/>
        </w:rPr>
        <w:t>T</w:t>
      </w:r>
      <w:r w:rsidR="00500582" w:rsidRPr="00B406D7">
        <w:rPr>
          <w:rFonts w:ascii="Verdana" w:hAnsi="Verdana" w:cs="Arial"/>
        </w:rPr>
        <w:t>ransporte. Particularmente, se observaron aquellas a través de las que se contrataron obras, estas son propiamente de carácter competitivo</w:t>
      </w:r>
      <w:r w:rsidR="00A0411B" w:rsidRPr="00B406D7">
        <w:rPr>
          <w:rFonts w:ascii="Verdana" w:hAnsi="Verdana" w:cs="Arial"/>
        </w:rPr>
        <w:t xml:space="preserve">; </w:t>
      </w:r>
      <w:r w:rsidR="00500582" w:rsidRPr="00B406D7">
        <w:rPr>
          <w:rFonts w:ascii="Verdana" w:hAnsi="Verdana" w:cs="Arial"/>
        </w:rPr>
        <w:t>adicionalmente se observan los convenios de dos parte</w:t>
      </w:r>
      <w:r w:rsidR="004B62DD" w:rsidRPr="00B406D7">
        <w:rPr>
          <w:rFonts w:ascii="Verdana" w:hAnsi="Verdana" w:cs="Arial"/>
        </w:rPr>
        <w:t>s</w:t>
      </w:r>
      <w:r w:rsidR="004B62DD" w:rsidRPr="00B406D7">
        <w:rPr>
          <w:rStyle w:val="Refdenotaalpie"/>
          <w:rFonts w:ascii="Verdana" w:hAnsi="Verdana" w:cs="Arial"/>
        </w:rPr>
        <w:footnoteReference w:id="10"/>
      </w:r>
      <w:r w:rsidR="004B62DD" w:rsidRPr="00B406D7">
        <w:rPr>
          <w:rFonts w:ascii="Verdana" w:hAnsi="Verdana" w:cs="Arial"/>
        </w:rPr>
        <w:t>:</w:t>
      </w:r>
    </w:p>
    <w:p w14:paraId="59F3F5C1" w14:textId="77777777" w:rsidR="004A243A" w:rsidRPr="00B406D7" w:rsidRDefault="004A243A" w:rsidP="004A243A">
      <w:pPr>
        <w:spacing w:after="0" w:line="240" w:lineRule="auto"/>
        <w:jc w:val="both"/>
        <w:rPr>
          <w:rFonts w:ascii="Verdana" w:hAnsi="Verdana" w:cs="Arial"/>
        </w:rPr>
      </w:pPr>
    </w:p>
    <w:p w14:paraId="3B1BEE5C" w14:textId="77777777" w:rsidR="00081F52" w:rsidRDefault="00081F52" w:rsidP="00081F52">
      <w:pPr>
        <w:pStyle w:val="Descripcin"/>
      </w:pPr>
    </w:p>
    <w:p w14:paraId="030420B8" w14:textId="77777777" w:rsidR="00081F52" w:rsidRDefault="00081F52" w:rsidP="00081F52">
      <w:pPr>
        <w:pStyle w:val="Descripcin"/>
      </w:pPr>
    </w:p>
    <w:p w14:paraId="3F968B76" w14:textId="77777777" w:rsidR="00081F52" w:rsidRDefault="00081F52" w:rsidP="00081F52">
      <w:pPr>
        <w:pStyle w:val="Descripcin"/>
      </w:pPr>
    </w:p>
    <w:p w14:paraId="4319DC58" w14:textId="77777777" w:rsidR="00081F52" w:rsidRDefault="00081F52" w:rsidP="00081F52">
      <w:pPr>
        <w:pStyle w:val="Descripcin"/>
        <w:spacing w:after="0"/>
      </w:pPr>
    </w:p>
    <w:p w14:paraId="086BC344" w14:textId="5811EF65" w:rsidR="00500582" w:rsidRPr="00081F52" w:rsidRDefault="00500582" w:rsidP="00081F52">
      <w:pPr>
        <w:pStyle w:val="Descripcin"/>
        <w:spacing w:after="0"/>
      </w:pPr>
      <w:r w:rsidRPr="00B406D7">
        <w:lastRenderedPageBreak/>
        <w:t>Gráfico 2. Modalidades de selección: valores y número de contratos, Sector Transporte</w:t>
      </w:r>
    </w:p>
    <w:p w14:paraId="7FBBB1CB" w14:textId="70E21BED" w:rsidR="00500582" w:rsidRPr="00B406D7" w:rsidRDefault="00500582" w:rsidP="00081F52">
      <w:pPr>
        <w:spacing w:after="0"/>
        <w:jc w:val="center"/>
        <w:rPr>
          <w:rFonts w:ascii="Verdana" w:hAnsi="Verdana"/>
        </w:rPr>
      </w:pPr>
      <w:r w:rsidRPr="00B406D7">
        <w:rPr>
          <w:rFonts w:ascii="Verdana" w:hAnsi="Verdana"/>
          <w:noProof/>
        </w:rPr>
        <w:drawing>
          <wp:inline distT="0" distB="0" distL="0" distR="0" wp14:anchorId="2E7AF135" wp14:editId="3D843B2C">
            <wp:extent cx="4612640" cy="2715895"/>
            <wp:effectExtent l="0" t="0" r="0" b="8255"/>
            <wp:docPr id="379259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12640" cy="2715895"/>
                    </a:xfrm>
                    <a:prstGeom prst="rect">
                      <a:avLst/>
                    </a:prstGeom>
                    <a:noFill/>
                    <a:ln>
                      <a:noFill/>
                    </a:ln>
                  </pic:spPr>
                </pic:pic>
              </a:graphicData>
            </a:graphic>
          </wp:inline>
        </w:drawing>
      </w:r>
    </w:p>
    <w:p w14:paraId="5EA0C47C" w14:textId="77777777" w:rsidR="00500582" w:rsidRPr="00081F52" w:rsidRDefault="00500582" w:rsidP="00081F52">
      <w:pPr>
        <w:spacing w:after="0"/>
        <w:jc w:val="center"/>
        <w:rPr>
          <w:rFonts w:ascii="Verdana" w:hAnsi="Verdana" w:cs="Arial"/>
          <w:i/>
          <w:iCs/>
          <w:color w:val="000000" w:themeColor="text1"/>
          <w:sz w:val="16"/>
          <w:szCs w:val="16"/>
        </w:rPr>
      </w:pPr>
      <w:r w:rsidRPr="00081F52">
        <w:rPr>
          <w:rFonts w:ascii="Verdana" w:hAnsi="Verdana" w:cs="Arial"/>
          <w:i/>
          <w:color w:val="000000" w:themeColor="text1"/>
          <w:sz w:val="16"/>
          <w:szCs w:val="16"/>
        </w:rPr>
        <w:t>Fuente: Sistema Electrónico para la Contratación Pública</w:t>
      </w:r>
    </w:p>
    <w:p w14:paraId="75C88D29" w14:textId="77777777" w:rsidR="00B446B5" w:rsidRPr="00B406D7" w:rsidRDefault="00B446B5" w:rsidP="00B446B5">
      <w:pPr>
        <w:spacing w:after="0"/>
        <w:rPr>
          <w:rFonts w:ascii="Verdana" w:hAnsi="Verdana"/>
        </w:rPr>
      </w:pPr>
    </w:p>
    <w:p w14:paraId="589EC01B" w14:textId="18A46522" w:rsidR="00500582" w:rsidRPr="00B406D7" w:rsidRDefault="00500582" w:rsidP="00B446B5">
      <w:pPr>
        <w:snapToGrid w:val="0"/>
        <w:spacing w:after="0" w:line="240" w:lineRule="auto"/>
        <w:jc w:val="both"/>
        <w:rPr>
          <w:rFonts w:ascii="Verdana" w:hAnsi="Verdana" w:cs="Arial"/>
        </w:rPr>
      </w:pPr>
      <w:r w:rsidRPr="00B406D7">
        <w:rPr>
          <w:rFonts w:ascii="Verdana" w:hAnsi="Verdana" w:cs="Arial"/>
        </w:rPr>
        <w:t xml:space="preserve">El gráfico 2 ilustra los valores y el número de contratos celebrados a través de las modalidades descritas. La modalidad de licitación pública concentró los mayores valores contratados por $25 billones a través de 4.004 contratos. En segundo lugar, se ubicó la modalidad de selección abreviada con 3.887 por un valor de $1,5 billones equivalente al 6% de la contratación total del sector, lo que implica una alta frecuencia de contratos de menor valor frente a la modalidad de licitación pública. </w:t>
      </w:r>
    </w:p>
    <w:p w14:paraId="185FD220" w14:textId="77777777" w:rsidR="00B446B5" w:rsidRPr="00B406D7" w:rsidRDefault="00B446B5" w:rsidP="00B446B5">
      <w:pPr>
        <w:snapToGrid w:val="0"/>
        <w:spacing w:after="0" w:line="240" w:lineRule="auto"/>
        <w:jc w:val="both"/>
        <w:rPr>
          <w:rFonts w:ascii="Verdana" w:hAnsi="Verdana" w:cs="Arial"/>
        </w:rPr>
      </w:pPr>
    </w:p>
    <w:p w14:paraId="5D3CBDB3" w14:textId="454ED34B" w:rsidR="00500582" w:rsidRPr="00B406D7" w:rsidRDefault="00500582" w:rsidP="00B446B5">
      <w:pPr>
        <w:snapToGrid w:val="0"/>
        <w:spacing w:after="0" w:line="240" w:lineRule="auto"/>
        <w:jc w:val="both"/>
        <w:rPr>
          <w:rFonts w:ascii="Verdana" w:hAnsi="Verdana" w:cs="Arial"/>
        </w:rPr>
      </w:pPr>
      <w:r w:rsidRPr="00B406D7">
        <w:rPr>
          <w:rFonts w:ascii="Verdana" w:hAnsi="Verdana" w:cs="Arial"/>
        </w:rPr>
        <w:t>En tercer lugar, la modalidad de mínima cuantía concentró $91 mil millones a través de 2.995 contratos con una participación menor al 1% del valor total. Seguido, se ubican los convenios de dos partes que concentraron $66 mil millones a través de 433 contratos. Finalmente, la modalidad de concurso de méritos concentró $553 millones a través de 3 contratos.</w:t>
      </w:r>
    </w:p>
    <w:p w14:paraId="5A22D529" w14:textId="77777777" w:rsidR="00B446B5" w:rsidRPr="00B406D7" w:rsidRDefault="00B446B5" w:rsidP="00B446B5">
      <w:pPr>
        <w:snapToGrid w:val="0"/>
        <w:spacing w:after="0" w:line="240" w:lineRule="auto"/>
        <w:jc w:val="both"/>
        <w:rPr>
          <w:rFonts w:ascii="Verdana" w:hAnsi="Verdana" w:cs="Arial"/>
        </w:rPr>
      </w:pPr>
    </w:p>
    <w:p w14:paraId="7E465976" w14:textId="17A4B57D" w:rsidR="00500582" w:rsidRPr="00B406D7" w:rsidRDefault="00500582" w:rsidP="00B446B5">
      <w:pPr>
        <w:snapToGrid w:val="0"/>
        <w:spacing w:after="0" w:line="240" w:lineRule="auto"/>
        <w:jc w:val="both"/>
        <w:rPr>
          <w:rFonts w:ascii="Verdana" w:hAnsi="Verdana" w:cs="Arial"/>
        </w:rPr>
      </w:pPr>
      <w:r w:rsidRPr="00B406D7">
        <w:rPr>
          <w:rFonts w:ascii="Verdana" w:hAnsi="Verdana" w:cs="Arial"/>
        </w:rPr>
        <w:t>Puede concluirse sobre el particular que, la modalidad de licitación pública fue la preferida por las entidades públicas en la contratación del sector transporte en las obras de mayor valor; no obstante, la selección abreviada y la mínima cuantía tuvieron una alta frecuencia en cuanto al número de contratos, sin embargo, estos fueron de valores inferiores a los contratados a través de licitación pública.</w:t>
      </w:r>
    </w:p>
    <w:p w14:paraId="2A5D80F8" w14:textId="77777777" w:rsidR="00B446B5" w:rsidRPr="00B406D7" w:rsidRDefault="00B446B5" w:rsidP="00B446B5">
      <w:pPr>
        <w:snapToGrid w:val="0"/>
        <w:spacing w:after="0" w:line="240" w:lineRule="auto"/>
        <w:jc w:val="both"/>
        <w:rPr>
          <w:rFonts w:ascii="Verdana" w:hAnsi="Verdana" w:cs="Arial"/>
        </w:rPr>
      </w:pPr>
    </w:p>
    <w:p w14:paraId="50D0BADA" w14:textId="77777777" w:rsidR="00500582" w:rsidRPr="00B406D7" w:rsidRDefault="00500582" w:rsidP="00B446B5">
      <w:pPr>
        <w:pStyle w:val="Ttulo2"/>
        <w:numPr>
          <w:ilvl w:val="0"/>
          <w:numId w:val="20"/>
        </w:numPr>
        <w:snapToGrid w:val="0"/>
        <w:spacing w:before="0" w:line="240" w:lineRule="auto"/>
        <w:jc w:val="both"/>
        <w:rPr>
          <w:rFonts w:ascii="Verdana" w:hAnsi="Verdana" w:cs="Arial"/>
          <w:b/>
          <w:bCs/>
          <w:color w:val="000000" w:themeColor="text1"/>
          <w:sz w:val="22"/>
          <w:szCs w:val="22"/>
        </w:rPr>
      </w:pPr>
      <w:bookmarkStart w:id="3" w:name="_Toc161653014"/>
      <w:r w:rsidRPr="00B406D7">
        <w:rPr>
          <w:rFonts w:ascii="Verdana" w:hAnsi="Verdana" w:cs="Arial"/>
          <w:b/>
          <w:bCs/>
          <w:color w:val="000000" w:themeColor="text1"/>
          <w:sz w:val="22"/>
          <w:szCs w:val="22"/>
        </w:rPr>
        <w:t>Distribución geográfica:</w:t>
      </w:r>
      <w:bookmarkEnd w:id="3"/>
    </w:p>
    <w:p w14:paraId="2D06B90A" w14:textId="77777777" w:rsidR="005E27BA" w:rsidRPr="00B406D7" w:rsidRDefault="005E27BA" w:rsidP="00B446B5">
      <w:pPr>
        <w:snapToGrid w:val="0"/>
        <w:spacing w:after="0" w:line="240" w:lineRule="auto"/>
        <w:jc w:val="both"/>
        <w:rPr>
          <w:rFonts w:ascii="Verdana" w:hAnsi="Verdana" w:cs="Arial"/>
        </w:rPr>
      </w:pPr>
    </w:p>
    <w:p w14:paraId="729D1635" w14:textId="37022F33" w:rsidR="00500582" w:rsidRPr="00B406D7" w:rsidRDefault="00231B35" w:rsidP="00B446B5">
      <w:pPr>
        <w:snapToGrid w:val="0"/>
        <w:spacing w:after="0" w:line="240" w:lineRule="auto"/>
        <w:jc w:val="both"/>
        <w:rPr>
          <w:rFonts w:ascii="Verdana" w:hAnsi="Verdana" w:cs="Arial"/>
        </w:rPr>
      </w:pPr>
      <w:r w:rsidRPr="00B406D7">
        <w:rPr>
          <w:rFonts w:ascii="Verdana" w:hAnsi="Verdana" w:cs="Arial"/>
        </w:rPr>
        <w:t xml:space="preserve">Para visualizar </w:t>
      </w:r>
      <w:r w:rsidR="00500582" w:rsidRPr="00B406D7">
        <w:rPr>
          <w:rFonts w:ascii="Verdana" w:hAnsi="Verdana" w:cs="Arial"/>
        </w:rPr>
        <w:t xml:space="preserve">la distribución geográfica de los valores contratados en el </w:t>
      </w:r>
      <w:r w:rsidRPr="00B406D7">
        <w:rPr>
          <w:rFonts w:ascii="Verdana" w:hAnsi="Verdana" w:cs="Arial"/>
        </w:rPr>
        <w:t>S</w:t>
      </w:r>
      <w:r w:rsidR="00500582" w:rsidRPr="00B406D7">
        <w:rPr>
          <w:rFonts w:ascii="Verdana" w:hAnsi="Verdana" w:cs="Arial"/>
        </w:rPr>
        <w:t xml:space="preserve">ector </w:t>
      </w:r>
      <w:r w:rsidRPr="00B406D7">
        <w:rPr>
          <w:rFonts w:ascii="Verdana" w:hAnsi="Verdana" w:cs="Arial"/>
        </w:rPr>
        <w:t>T</w:t>
      </w:r>
      <w:r w:rsidR="00500582" w:rsidRPr="00B406D7">
        <w:rPr>
          <w:rFonts w:ascii="Verdana" w:hAnsi="Verdana" w:cs="Arial"/>
        </w:rPr>
        <w:t xml:space="preserve">ransporte durante las vigencias 2021, 2022 y 2023, </w:t>
      </w:r>
      <w:r w:rsidRPr="00B406D7">
        <w:rPr>
          <w:rFonts w:ascii="Verdana" w:hAnsi="Verdana" w:cs="Arial"/>
        </w:rPr>
        <w:t xml:space="preserve">se utiliza </w:t>
      </w:r>
      <w:r w:rsidR="00500582" w:rsidRPr="00B406D7">
        <w:rPr>
          <w:rFonts w:ascii="Verdana" w:hAnsi="Verdana" w:cs="Arial"/>
        </w:rPr>
        <w:t xml:space="preserve">un mapa </w:t>
      </w:r>
      <w:proofErr w:type="spellStart"/>
      <w:r w:rsidR="00500582" w:rsidRPr="00B406D7">
        <w:rPr>
          <w:rFonts w:ascii="Verdana" w:hAnsi="Verdana" w:cs="Arial"/>
        </w:rPr>
        <w:t>coroplético</w:t>
      </w:r>
      <w:proofErr w:type="spellEnd"/>
      <w:r w:rsidR="00500582" w:rsidRPr="00B406D7">
        <w:rPr>
          <w:rFonts w:ascii="Verdana" w:hAnsi="Verdana" w:cs="Arial"/>
        </w:rPr>
        <w:t xml:space="preserve">. Se </w:t>
      </w:r>
      <w:r w:rsidR="00500582" w:rsidRPr="00B406D7">
        <w:rPr>
          <w:rFonts w:ascii="Verdana" w:hAnsi="Verdana" w:cs="Arial"/>
        </w:rPr>
        <w:lastRenderedPageBreak/>
        <w:t>identifican las variaciones departamentales de acuerdo con los valores contratados a través de la intensidad de los colores como a continuación se observ</w:t>
      </w:r>
      <w:r w:rsidR="00AF616A" w:rsidRPr="00B406D7">
        <w:rPr>
          <w:rFonts w:ascii="Verdana" w:hAnsi="Verdana" w:cs="Arial"/>
        </w:rPr>
        <w:t>a</w:t>
      </w:r>
      <w:r w:rsidR="00AF616A" w:rsidRPr="00B406D7">
        <w:rPr>
          <w:rStyle w:val="Refdenotaalpie"/>
          <w:rFonts w:ascii="Verdana" w:hAnsi="Verdana" w:cs="Arial"/>
        </w:rPr>
        <w:footnoteReference w:id="11"/>
      </w:r>
      <w:r w:rsidR="00AF616A" w:rsidRPr="00B406D7">
        <w:rPr>
          <w:rFonts w:ascii="Verdana" w:hAnsi="Verdana" w:cs="Arial"/>
        </w:rPr>
        <w:t>:</w:t>
      </w:r>
    </w:p>
    <w:p w14:paraId="4771140E" w14:textId="77777777" w:rsidR="00B446B5" w:rsidRPr="00B406D7" w:rsidRDefault="00B446B5" w:rsidP="00B446B5">
      <w:pPr>
        <w:snapToGrid w:val="0"/>
        <w:spacing w:after="0" w:line="240" w:lineRule="auto"/>
        <w:jc w:val="both"/>
        <w:rPr>
          <w:rFonts w:ascii="Verdana" w:hAnsi="Verdana" w:cs="Arial"/>
        </w:rPr>
      </w:pPr>
    </w:p>
    <w:p w14:paraId="0F69E75E" w14:textId="332B8A16" w:rsidR="00500582" w:rsidRPr="00B406D7" w:rsidRDefault="00AF616A" w:rsidP="00081F52">
      <w:pPr>
        <w:pStyle w:val="Descripcin"/>
      </w:pPr>
      <w:r w:rsidRPr="00B406D7">
        <w:t>Gráfico 3</w:t>
      </w:r>
      <w:r w:rsidR="00500582" w:rsidRPr="00B406D7">
        <w:t>. Distribución Geográfica (Valor contratos), Sector Transporte.</w:t>
      </w:r>
    </w:p>
    <w:p w14:paraId="6CDDBB37" w14:textId="77777777" w:rsidR="00500582" w:rsidRPr="00081F52" w:rsidRDefault="00500582" w:rsidP="00500582">
      <w:pPr>
        <w:jc w:val="center"/>
        <w:rPr>
          <w:rFonts w:ascii="Verdana" w:hAnsi="Verdana"/>
          <w:sz w:val="18"/>
          <w:szCs w:val="18"/>
        </w:rPr>
      </w:pPr>
      <w:r w:rsidRPr="00081F52">
        <w:rPr>
          <w:rFonts w:ascii="Verdana" w:hAnsi="Verdana"/>
          <w:noProof/>
          <w:sz w:val="18"/>
          <w:szCs w:val="18"/>
        </w:rPr>
        <w:drawing>
          <wp:inline distT="0" distB="0" distL="0" distR="0" wp14:anchorId="3CD80194" wp14:editId="45C14D4D">
            <wp:extent cx="3952875" cy="4067175"/>
            <wp:effectExtent l="0" t="0" r="9525" b="9525"/>
            <wp:docPr id="12201030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103098" name="Imagen 1220103098"/>
                    <pic:cNvPicPr/>
                  </pic:nvPicPr>
                  <pic:blipFill rotWithShape="1">
                    <a:blip r:embed="rId16">
                      <a:extLst>
                        <a:ext uri="{28A0092B-C50C-407E-A947-70E740481C1C}">
                          <a14:useLocalDpi xmlns:a14="http://schemas.microsoft.com/office/drawing/2010/main" val="0"/>
                        </a:ext>
                      </a:extLst>
                    </a:blip>
                    <a:srcRect l="14000" t="11950" r="4987"/>
                    <a:stretch/>
                  </pic:blipFill>
                  <pic:spPr bwMode="auto">
                    <a:xfrm>
                      <a:off x="0" y="0"/>
                      <a:ext cx="3954055" cy="4068389"/>
                    </a:xfrm>
                    <a:prstGeom prst="rect">
                      <a:avLst/>
                    </a:prstGeom>
                    <a:ln>
                      <a:noFill/>
                    </a:ln>
                    <a:extLst>
                      <a:ext uri="{53640926-AAD7-44D8-BBD7-CCE9431645EC}">
                        <a14:shadowObscured xmlns:a14="http://schemas.microsoft.com/office/drawing/2010/main"/>
                      </a:ext>
                    </a:extLst>
                  </pic:spPr>
                </pic:pic>
              </a:graphicData>
            </a:graphic>
          </wp:inline>
        </w:drawing>
      </w:r>
    </w:p>
    <w:p w14:paraId="1164246B" w14:textId="77777777" w:rsidR="00500582" w:rsidRPr="00B406D7" w:rsidRDefault="00500582" w:rsidP="00B446B5">
      <w:pPr>
        <w:spacing w:after="0"/>
        <w:jc w:val="center"/>
        <w:rPr>
          <w:rFonts w:ascii="Verdana" w:hAnsi="Verdana" w:cs="Arial"/>
          <w:i/>
          <w:iCs/>
          <w:color w:val="000000" w:themeColor="text1"/>
        </w:rPr>
      </w:pPr>
      <w:r w:rsidRPr="00081F52">
        <w:rPr>
          <w:rFonts w:ascii="Verdana" w:hAnsi="Verdana" w:cs="Arial"/>
          <w:i/>
          <w:color w:val="000000" w:themeColor="text1"/>
          <w:sz w:val="18"/>
          <w:szCs w:val="18"/>
        </w:rPr>
        <w:t>Fuente: Sistema Electrónico para la Contratación Pública</w:t>
      </w:r>
    </w:p>
    <w:p w14:paraId="68DEF25F" w14:textId="77777777" w:rsidR="00B446B5" w:rsidRPr="00B406D7" w:rsidRDefault="00B446B5" w:rsidP="00500582">
      <w:pPr>
        <w:rPr>
          <w:rFonts w:ascii="Verdana" w:hAnsi="Verdana" w:cs="Arial"/>
        </w:rPr>
      </w:pPr>
    </w:p>
    <w:p w14:paraId="49D5E507" w14:textId="465DEE12" w:rsidR="00500582" w:rsidRPr="00B406D7" w:rsidRDefault="00500582" w:rsidP="002B3772">
      <w:pPr>
        <w:spacing w:after="0" w:line="240" w:lineRule="auto"/>
        <w:jc w:val="both"/>
        <w:rPr>
          <w:rFonts w:ascii="Verdana" w:hAnsi="Verdana" w:cs="Arial"/>
        </w:rPr>
      </w:pPr>
      <w:r w:rsidRPr="00B406D7">
        <w:rPr>
          <w:rFonts w:ascii="Verdana" w:hAnsi="Verdana" w:cs="Arial"/>
        </w:rPr>
        <w:t>Esta distribución muestra una concentración en la ciudad de Bogotá D.C.</w:t>
      </w:r>
      <w:r w:rsidR="002B3772" w:rsidRPr="00B406D7">
        <w:rPr>
          <w:rFonts w:ascii="Verdana" w:hAnsi="Verdana" w:cs="Arial"/>
        </w:rPr>
        <w:t>,</w:t>
      </w:r>
      <w:r w:rsidRPr="00B406D7">
        <w:rPr>
          <w:rFonts w:ascii="Verdana" w:hAnsi="Verdana" w:cs="Arial"/>
        </w:rPr>
        <w:t xml:space="preserve"> con valores por $10,1 billones con 1.083 contratos equivalente al 38% del monto total contratado para el sector, seguido de los departamentos de Cesar, Antioquia, Bolívar, Córdoba, Cundinamarca y Santander con valores contratados superiores a $1 billón de pesos. </w:t>
      </w:r>
    </w:p>
    <w:p w14:paraId="0057E0F6" w14:textId="77777777" w:rsidR="002B3772" w:rsidRPr="00B406D7" w:rsidRDefault="002B3772" w:rsidP="002B3772">
      <w:pPr>
        <w:spacing w:after="0" w:line="240" w:lineRule="auto"/>
        <w:jc w:val="both"/>
        <w:rPr>
          <w:rFonts w:ascii="Verdana" w:hAnsi="Verdana" w:cs="Arial"/>
        </w:rPr>
      </w:pPr>
    </w:p>
    <w:p w14:paraId="40583657" w14:textId="53075D5A" w:rsidR="00933181" w:rsidRPr="00B406D7" w:rsidRDefault="00500582" w:rsidP="002B3772">
      <w:pPr>
        <w:spacing w:after="0" w:line="240" w:lineRule="auto"/>
        <w:jc w:val="both"/>
        <w:rPr>
          <w:rFonts w:ascii="Verdana" w:hAnsi="Verdana" w:cs="Arial"/>
        </w:rPr>
      </w:pPr>
      <w:r w:rsidRPr="00B406D7">
        <w:rPr>
          <w:rFonts w:ascii="Verdana" w:hAnsi="Verdana" w:cs="Arial"/>
        </w:rPr>
        <w:t>Al observar la distribución en los rangos inferiores, se observa que en el rango inferior que abarca la contratación entre $1 mil millones de pesos y $10 mil millones pesos</w:t>
      </w:r>
      <w:r w:rsidR="007058E5" w:rsidRPr="00B406D7">
        <w:rPr>
          <w:rFonts w:ascii="Verdana" w:hAnsi="Verdana" w:cs="Arial"/>
        </w:rPr>
        <w:t xml:space="preserve">, </w:t>
      </w:r>
      <w:r w:rsidRPr="00B406D7">
        <w:rPr>
          <w:rFonts w:ascii="Verdana" w:hAnsi="Verdana" w:cs="Arial"/>
        </w:rPr>
        <w:t xml:space="preserve">únicamente se ubicó el departamento del Vaupés con 25 contratos. Ascendentemente, </w:t>
      </w:r>
      <w:r w:rsidRPr="00B406D7">
        <w:rPr>
          <w:rFonts w:ascii="Verdana" w:hAnsi="Verdana" w:cs="Arial"/>
        </w:rPr>
        <w:lastRenderedPageBreak/>
        <w:t>en el siguiente rango, con valores entre $10 mil millones y $50 mil millones de pesos, se ubicaron los departamentos de Guainía con 6 contratos y Vichada con 31 contratos</w:t>
      </w:r>
      <w:r w:rsidR="00933181" w:rsidRPr="00B406D7">
        <w:rPr>
          <w:rFonts w:ascii="Verdana" w:hAnsi="Verdana" w:cs="Arial"/>
        </w:rPr>
        <w:t>.</w:t>
      </w:r>
    </w:p>
    <w:p w14:paraId="6960DEE6" w14:textId="77777777" w:rsidR="002B3772" w:rsidRPr="00B406D7" w:rsidRDefault="002B3772" w:rsidP="002B3772">
      <w:pPr>
        <w:spacing w:after="0" w:line="240" w:lineRule="auto"/>
        <w:jc w:val="both"/>
        <w:rPr>
          <w:rFonts w:ascii="Verdana" w:hAnsi="Verdana" w:cs="Arial"/>
        </w:rPr>
      </w:pPr>
    </w:p>
    <w:p w14:paraId="58060740" w14:textId="1E32A6FE" w:rsidR="00500582" w:rsidRPr="00B406D7" w:rsidRDefault="00500582" w:rsidP="002B3772">
      <w:pPr>
        <w:spacing w:after="0" w:line="240" w:lineRule="auto"/>
        <w:jc w:val="both"/>
        <w:rPr>
          <w:rFonts w:ascii="Verdana" w:hAnsi="Verdana" w:cs="Arial"/>
        </w:rPr>
      </w:pPr>
      <w:r w:rsidRPr="00B406D7">
        <w:rPr>
          <w:rFonts w:ascii="Verdana" w:hAnsi="Verdana" w:cs="Arial"/>
        </w:rPr>
        <w:t xml:space="preserve">El análisis de la contratación en el </w:t>
      </w:r>
      <w:r w:rsidR="002B3772" w:rsidRPr="00B406D7">
        <w:rPr>
          <w:rFonts w:ascii="Verdana" w:hAnsi="Verdana" w:cs="Arial"/>
        </w:rPr>
        <w:t>S</w:t>
      </w:r>
      <w:r w:rsidRPr="00B406D7">
        <w:rPr>
          <w:rFonts w:ascii="Verdana" w:hAnsi="Verdana" w:cs="Arial"/>
        </w:rPr>
        <w:t xml:space="preserve">ector </w:t>
      </w:r>
      <w:r w:rsidR="002B3772" w:rsidRPr="00B406D7">
        <w:rPr>
          <w:rFonts w:ascii="Verdana" w:hAnsi="Verdana" w:cs="Arial"/>
        </w:rPr>
        <w:t>T</w:t>
      </w:r>
      <w:r w:rsidRPr="00B406D7">
        <w:rPr>
          <w:rFonts w:ascii="Verdana" w:hAnsi="Verdana" w:cs="Arial"/>
        </w:rPr>
        <w:t>ransporte a través de</w:t>
      </w:r>
      <w:r w:rsidR="00C505F1" w:rsidRPr="00B406D7">
        <w:rPr>
          <w:rFonts w:ascii="Verdana" w:hAnsi="Verdana" w:cs="Arial"/>
        </w:rPr>
        <w:t>l</w:t>
      </w:r>
      <w:r w:rsidRPr="00B406D7">
        <w:rPr>
          <w:rFonts w:ascii="Verdana" w:hAnsi="Verdana" w:cs="Arial"/>
        </w:rPr>
        <w:t xml:space="preserve"> SECOP I y</w:t>
      </w:r>
      <w:r w:rsidR="00C505F1" w:rsidRPr="00B406D7">
        <w:rPr>
          <w:rFonts w:ascii="Verdana" w:hAnsi="Verdana" w:cs="Arial"/>
        </w:rPr>
        <w:t xml:space="preserve"> </w:t>
      </w:r>
      <w:r w:rsidRPr="00B406D7">
        <w:rPr>
          <w:rFonts w:ascii="Verdana" w:hAnsi="Verdana" w:cs="Arial"/>
        </w:rPr>
        <w:t>II ha permitido identificar varias tendencias significativas en el período de 2021, 2022 y 2023</w:t>
      </w:r>
      <w:r w:rsidR="002B3772" w:rsidRPr="00B406D7">
        <w:rPr>
          <w:rFonts w:ascii="Verdana" w:hAnsi="Verdana" w:cs="Arial"/>
        </w:rPr>
        <w:t>, entre estas las siguientes:</w:t>
      </w:r>
    </w:p>
    <w:p w14:paraId="657D2165" w14:textId="77777777" w:rsidR="002B3772" w:rsidRPr="00B406D7" w:rsidRDefault="002B3772" w:rsidP="002B3772">
      <w:pPr>
        <w:spacing w:after="0" w:line="240" w:lineRule="auto"/>
        <w:jc w:val="both"/>
        <w:rPr>
          <w:rFonts w:ascii="Verdana" w:hAnsi="Verdana" w:cs="Arial"/>
        </w:rPr>
      </w:pPr>
    </w:p>
    <w:p w14:paraId="7A510F1E" w14:textId="25F9F91C" w:rsidR="00500582" w:rsidRPr="00B406D7" w:rsidRDefault="00500582" w:rsidP="002B3772">
      <w:pPr>
        <w:pStyle w:val="Prrafodelista"/>
        <w:numPr>
          <w:ilvl w:val="0"/>
          <w:numId w:val="20"/>
        </w:numPr>
        <w:spacing w:after="0" w:line="240" w:lineRule="auto"/>
        <w:jc w:val="both"/>
        <w:rPr>
          <w:rFonts w:ascii="Verdana" w:hAnsi="Verdana" w:cs="Arial"/>
        </w:rPr>
      </w:pPr>
      <w:r w:rsidRPr="00B406D7">
        <w:rPr>
          <w:rFonts w:ascii="Verdana" w:hAnsi="Verdana" w:cs="Arial"/>
        </w:rPr>
        <w:t>Entre las vigencias 2021 – 2023 la tendencia de crecimiento en el valor y el número de contratos indica un aumento y fortalecimiento de las actividades y proyectos en el sector transporte con una tasa de crecimiento en las vigencias observadas en el valor de los contratos del 31% y en el número de contratos cercana al 14%.</w:t>
      </w:r>
    </w:p>
    <w:p w14:paraId="6A9B9FFD" w14:textId="77777777" w:rsidR="002B3772" w:rsidRPr="00B406D7" w:rsidRDefault="002B3772" w:rsidP="002B3772">
      <w:pPr>
        <w:pStyle w:val="Prrafodelista"/>
        <w:spacing w:after="0" w:line="240" w:lineRule="auto"/>
        <w:jc w:val="both"/>
        <w:rPr>
          <w:rFonts w:ascii="Verdana" w:hAnsi="Verdana" w:cs="Arial"/>
        </w:rPr>
      </w:pPr>
    </w:p>
    <w:p w14:paraId="22DB1D10" w14:textId="6D8D1346" w:rsidR="00500582" w:rsidRPr="00B406D7" w:rsidRDefault="00C505F1" w:rsidP="002B3772">
      <w:pPr>
        <w:pStyle w:val="Prrafodelista"/>
        <w:numPr>
          <w:ilvl w:val="0"/>
          <w:numId w:val="20"/>
        </w:numPr>
        <w:spacing w:after="0" w:line="240" w:lineRule="auto"/>
        <w:jc w:val="both"/>
        <w:rPr>
          <w:rFonts w:ascii="Verdana" w:hAnsi="Verdana" w:cs="Arial"/>
        </w:rPr>
      </w:pPr>
      <w:r w:rsidRPr="00B406D7">
        <w:rPr>
          <w:rFonts w:ascii="Verdana" w:hAnsi="Verdana" w:cs="Arial"/>
        </w:rPr>
        <w:t xml:space="preserve">El </w:t>
      </w:r>
      <w:r w:rsidR="00500582" w:rsidRPr="00B406D7">
        <w:rPr>
          <w:rFonts w:ascii="Verdana" w:hAnsi="Verdana" w:cs="Arial"/>
        </w:rPr>
        <w:t>SECOP II concentró el 67% del valor total del sector duplicando los valores contratados a través de SECOP I el cual tuvo participación del 33%. Es importante mencionar que persiste el uso del SECOP I por entidades públicas pese a la progresiva obligatoriedad de</w:t>
      </w:r>
      <w:r w:rsidR="003920E6" w:rsidRPr="00B406D7">
        <w:rPr>
          <w:rFonts w:ascii="Verdana" w:hAnsi="Verdana" w:cs="Arial"/>
        </w:rPr>
        <w:t xml:space="preserve">l </w:t>
      </w:r>
      <w:r w:rsidR="00500582" w:rsidRPr="00B406D7">
        <w:rPr>
          <w:rFonts w:ascii="Verdana" w:hAnsi="Verdana" w:cs="Arial"/>
        </w:rPr>
        <w:t xml:space="preserve">SECOP II. </w:t>
      </w:r>
    </w:p>
    <w:p w14:paraId="5B7CE9BB" w14:textId="77777777" w:rsidR="00210BF5" w:rsidRPr="00B406D7" w:rsidRDefault="00210BF5" w:rsidP="002B3772">
      <w:pPr>
        <w:pStyle w:val="NormalWeb"/>
        <w:spacing w:before="0" w:beforeAutospacing="0" w:after="0" w:afterAutospacing="0"/>
        <w:ind w:right="51"/>
        <w:jc w:val="both"/>
        <w:rPr>
          <w:rFonts w:ascii="Verdana" w:hAnsi="Verdana" w:cs="Arial"/>
          <w:b/>
          <w:bCs/>
          <w:sz w:val="22"/>
          <w:szCs w:val="22"/>
          <w:lang w:eastAsia="es-ES"/>
        </w:rPr>
      </w:pPr>
    </w:p>
    <w:p w14:paraId="167E806B" w14:textId="71F4E833" w:rsidR="00486C8E" w:rsidRPr="00B406D7" w:rsidRDefault="001C577F" w:rsidP="002B3772">
      <w:pPr>
        <w:pStyle w:val="NormalWeb"/>
        <w:spacing w:before="0" w:beforeAutospacing="0" w:after="0" w:afterAutospacing="0"/>
        <w:ind w:right="51"/>
        <w:jc w:val="both"/>
        <w:rPr>
          <w:rFonts w:ascii="Verdana" w:hAnsi="Verdana" w:cs="Arial"/>
          <w:b/>
          <w:bCs/>
          <w:sz w:val="22"/>
          <w:szCs w:val="22"/>
          <w:lang w:eastAsia="es-ES"/>
        </w:rPr>
      </w:pPr>
      <w:r w:rsidRPr="00B406D7">
        <w:rPr>
          <w:rFonts w:ascii="Verdana" w:hAnsi="Verdana" w:cs="Arial"/>
          <w:b/>
          <w:bCs/>
          <w:sz w:val="22"/>
          <w:szCs w:val="22"/>
          <w:lang w:eastAsia="es-ES"/>
        </w:rPr>
        <w:t>2.</w:t>
      </w:r>
      <w:r w:rsidR="00210BF5" w:rsidRPr="00B406D7">
        <w:rPr>
          <w:rFonts w:ascii="Verdana" w:hAnsi="Verdana" w:cs="Arial"/>
          <w:b/>
          <w:bCs/>
          <w:sz w:val="22"/>
          <w:szCs w:val="22"/>
          <w:lang w:eastAsia="es-ES"/>
        </w:rPr>
        <w:t>6</w:t>
      </w:r>
      <w:r w:rsidRPr="00B406D7">
        <w:rPr>
          <w:rFonts w:ascii="Verdana" w:hAnsi="Verdana" w:cs="Arial"/>
          <w:b/>
          <w:bCs/>
          <w:sz w:val="22"/>
          <w:szCs w:val="22"/>
          <w:lang w:eastAsia="es-ES"/>
        </w:rPr>
        <w:t xml:space="preserve">. Observaciones de </w:t>
      </w:r>
      <w:r w:rsidR="007D481F" w:rsidRPr="00B406D7">
        <w:rPr>
          <w:rFonts w:ascii="Verdana" w:hAnsi="Verdana" w:cs="Arial"/>
          <w:b/>
          <w:bCs/>
          <w:sz w:val="22"/>
          <w:szCs w:val="22"/>
          <w:lang w:eastAsia="es-ES"/>
        </w:rPr>
        <w:t>ciudadanos, grupos de interés y entidades técnicas y especializadas del sector de infraestructura de transporte</w:t>
      </w:r>
    </w:p>
    <w:p w14:paraId="69E32E40" w14:textId="48B88278" w:rsidR="003740BB" w:rsidRPr="00B406D7" w:rsidRDefault="001D7EC1" w:rsidP="009034B7">
      <w:pPr>
        <w:pStyle w:val="NormalWeb"/>
        <w:spacing w:before="0" w:beforeAutospacing="0" w:after="0" w:afterAutospacing="0"/>
        <w:ind w:right="51"/>
        <w:jc w:val="both"/>
        <w:rPr>
          <w:rFonts w:ascii="Verdana" w:hAnsi="Verdana" w:cs="Arial"/>
          <w:sz w:val="22"/>
          <w:szCs w:val="22"/>
          <w:lang w:eastAsia="es-ES"/>
        </w:rPr>
      </w:pPr>
      <w:r w:rsidRPr="00B406D7">
        <w:rPr>
          <w:rFonts w:ascii="Verdana" w:hAnsi="Verdana" w:cs="Arial"/>
          <w:sz w:val="22"/>
          <w:szCs w:val="22"/>
          <w:lang w:eastAsia="es-ES"/>
        </w:rPr>
        <w:t>[…]</w:t>
      </w:r>
    </w:p>
    <w:p w14:paraId="57978239" w14:textId="4BE25058" w:rsidR="003740BB" w:rsidRPr="00B406D7" w:rsidRDefault="003740BB" w:rsidP="00A34601">
      <w:pPr>
        <w:pStyle w:val="Prrafodelista"/>
        <w:numPr>
          <w:ilvl w:val="0"/>
          <w:numId w:val="1"/>
        </w:numPr>
        <w:spacing w:after="0" w:line="240" w:lineRule="auto"/>
        <w:ind w:right="51"/>
        <w:jc w:val="both"/>
        <w:rPr>
          <w:rFonts w:ascii="Verdana" w:hAnsi="Verdana" w:cs="Arial"/>
          <w:b/>
          <w:bCs/>
          <w:lang w:val="es-ES_tradnl"/>
        </w:rPr>
      </w:pPr>
      <w:r w:rsidRPr="00B406D7">
        <w:rPr>
          <w:rFonts w:ascii="Verdana" w:hAnsi="Verdana" w:cs="Arial"/>
          <w:b/>
          <w:bCs/>
        </w:rPr>
        <w:t>Viabilidad Jurídica</w:t>
      </w:r>
    </w:p>
    <w:p w14:paraId="27B7C1D3" w14:textId="77777777" w:rsidR="00A34601" w:rsidRPr="00B406D7" w:rsidRDefault="00A34601" w:rsidP="00A34601">
      <w:pPr>
        <w:pStyle w:val="Normal11pt"/>
        <w:ind w:left="0" w:right="51"/>
        <w:rPr>
          <w:rFonts w:ascii="Verdana" w:hAnsi="Verdana"/>
          <w:b/>
          <w:color w:val="auto"/>
          <w:lang w:val="es-CO"/>
        </w:rPr>
      </w:pPr>
    </w:p>
    <w:p w14:paraId="3F016345" w14:textId="1B7E6B12" w:rsidR="003740BB" w:rsidRPr="00B406D7" w:rsidRDefault="00A34601" w:rsidP="00A34601">
      <w:pPr>
        <w:pStyle w:val="Normal11pt"/>
        <w:ind w:left="0" w:right="51"/>
        <w:rPr>
          <w:rFonts w:ascii="Verdana" w:hAnsi="Verdana"/>
          <w:b/>
          <w:color w:val="auto"/>
          <w:lang w:val="es-CO"/>
        </w:rPr>
      </w:pPr>
      <w:r w:rsidRPr="00B406D7">
        <w:rPr>
          <w:rFonts w:ascii="Verdana" w:hAnsi="Verdana"/>
          <w:b/>
          <w:color w:val="auto"/>
          <w:lang w:val="es-CO"/>
        </w:rPr>
        <w:t xml:space="preserve">3.1. </w:t>
      </w:r>
      <w:r w:rsidR="003740BB" w:rsidRPr="00B406D7">
        <w:rPr>
          <w:rFonts w:ascii="Verdana" w:hAnsi="Verdana"/>
          <w:b/>
          <w:color w:val="auto"/>
          <w:lang w:val="es-CO"/>
        </w:rPr>
        <w:t>Análisis de las normas que otorgan la competencia para la expedición del correspondiente acto</w:t>
      </w:r>
      <w:r w:rsidRPr="00B406D7">
        <w:rPr>
          <w:rFonts w:ascii="Verdana" w:hAnsi="Verdana"/>
          <w:b/>
          <w:color w:val="auto"/>
          <w:lang w:val="es-CO"/>
        </w:rPr>
        <w:t xml:space="preserve"> administrativo</w:t>
      </w:r>
    </w:p>
    <w:p w14:paraId="334A33E5" w14:textId="77777777" w:rsidR="003740BB" w:rsidRPr="00B406D7" w:rsidRDefault="003740BB" w:rsidP="003740BB">
      <w:pPr>
        <w:pStyle w:val="Normal11pt"/>
        <w:ind w:left="0" w:right="51"/>
        <w:rPr>
          <w:rFonts w:ascii="Verdana" w:hAnsi="Verdana"/>
          <w:b/>
          <w:color w:val="auto"/>
          <w:lang w:val="es-CO"/>
        </w:rPr>
      </w:pPr>
    </w:p>
    <w:p w14:paraId="40B5AC43" w14:textId="77777777" w:rsidR="003740BB" w:rsidRPr="00B406D7" w:rsidRDefault="003740BB" w:rsidP="003740BB">
      <w:pPr>
        <w:pStyle w:val="Normal11pt"/>
        <w:ind w:left="0" w:right="51"/>
        <w:rPr>
          <w:rFonts w:ascii="Verdana" w:hAnsi="Verdana"/>
          <w:color w:val="auto"/>
          <w:lang w:val="es-CO"/>
        </w:rPr>
      </w:pPr>
      <w:r w:rsidRPr="00B406D7">
        <w:rPr>
          <w:rFonts w:ascii="Verdana" w:hAnsi="Verdana"/>
          <w:color w:val="auto"/>
          <w:lang w:val="es-CO"/>
        </w:rPr>
        <w:t xml:space="preserve">El artículo 1 de la Ley 2022 de 2020, por medio del cual se modificó el artículo 4 de la Ley 1882 de 2018, establece que la Agencia Nacional de Contratación Pública – Colombia Compra Eficiente o quien haga sus veces, adoptará los documentos tipo que serán de obligatorio cumplimiento en la actividad contractual de todas las entidades sometidas al Estatuto General de Contratación de la Administración Pública. </w:t>
      </w:r>
    </w:p>
    <w:p w14:paraId="149E588A" w14:textId="77777777" w:rsidR="003740BB" w:rsidRPr="00B406D7" w:rsidRDefault="003740BB" w:rsidP="003740BB">
      <w:pPr>
        <w:pStyle w:val="Normal11pt"/>
        <w:ind w:left="0" w:right="51"/>
        <w:rPr>
          <w:rFonts w:ascii="Verdana" w:hAnsi="Verdana"/>
          <w:color w:val="auto"/>
          <w:lang w:val="es-CO"/>
        </w:rPr>
      </w:pPr>
    </w:p>
    <w:p w14:paraId="19B76394" w14:textId="77777777" w:rsidR="003740BB" w:rsidRPr="00B406D7" w:rsidRDefault="003740BB" w:rsidP="003740BB">
      <w:pPr>
        <w:pStyle w:val="Normal11pt"/>
        <w:ind w:left="0" w:right="51"/>
        <w:rPr>
          <w:rFonts w:ascii="Verdana" w:hAnsi="Verdana"/>
          <w:color w:val="auto"/>
          <w:lang w:val="es-CO"/>
        </w:rPr>
      </w:pPr>
      <w:r w:rsidRPr="00B406D7">
        <w:rPr>
          <w:rFonts w:ascii="Verdana" w:hAnsi="Verdana"/>
          <w:color w:val="auto"/>
          <w:lang w:val="es-CO"/>
        </w:rPr>
        <w:t xml:space="preserve">Inicialmente, con fundamento en el artículo 4 de la Ley 1882 de 2018, el </w:t>
      </w:r>
      <w:proofErr w:type="gramStart"/>
      <w:r w:rsidRPr="00B406D7">
        <w:rPr>
          <w:rFonts w:ascii="Verdana" w:hAnsi="Verdana"/>
          <w:color w:val="auto"/>
          <w:lang w:val="es-CO"/>
        </w:rPr>
        <w:t>Presidente</w:t>
      </w:r>
      <w:proofErr w:type="gramEnd"/>
      <w:r w:rsidRPr="00B406D7">
        <w:rPr>
          <w:rFonts w:ascii="Verdana" w:hAnsi="Verdana"/>
          <w:color w:val="auto"/>
          <w:lang w:val="es-CO"/>
        </w:rPr>
        <w:t xml:space="preserve"> de la República tenía la facultad de adoptar documentos tipo para los procesos de selección de obras públicas, interventoría para las obras públicas, interventoría para consultoría de estudios y diseños para obras públicas, consultoría en ingeniería para obras y para otros contratos o procesos de selección cuando lo considerara necesario.</w:t>
      </w:r>
    </w:p>
    <w:p w14:paraId="2B73D625" w14:textId="77777777" w:rsidR="003740BB" w:rsidRPr="00B406D7" w:rsidRDefault="003740BB" w:rsidP="003740BB">
      <w:pPr>
        <w:pStyle w:val="Normal11pt"/>
        <w:ind w:left="0" w:right="51"/>
        <w:rPr>
          <w:rFonts w:ascii="Verdana" w:hAnsi="Verdana"/>
          <w:color w:val="auto"/>
          <w:lang w:val="es-CO"/>
        </w:rPr>
      </w:pPr>
    </w:p>
    <w:p w14:paraId="15EB17D2" w14:textId="77777777" w:rsidR="003740BB" w:rsidRPr="00B406D7" w:rsidRDefault="003740BB" w:rsidP="003740BB">
      <w:pPr>
        <w:pStyle w:val="Normal11pt"/>
        <w:ind w:left="0" w:right="51"/>
        <w:rPr>
          <w:rFonts w:ascii="Verdana" w:hAnsi="Verdana"/>
          <w:color w:val="auto"/>
          <w:lang w:val="es-CO"/>
        </w:rPr>
      </w:pPr>
      <w:r w:rsidRPr="00B406D7">
        <w:rPr>
          <w:rFonts w:ascii="Verdana" w:hAnsi="Verdana"/>
          <w:color w:val="auto"/>
          <w:lang w:val="es-CO"/>
        </w:rPr>
        <w:t>La Corte Constitucional, en la Sentencia C-119 de 2020, estudió la constitucionalidad del artículo 4 de la Ley 1882 de 2018, frente al cual se demandaron los siguientes apartes subrayados, que fueron declarados exequibles:</w:t>
      </w:r>
    </w:p>
    <w:p w14:paraId="76FD869D" w14:textId="77777777" w:rsidR="003740BB" w:rsidRPr="00B406D7" w:rsidRDefault="003740BB" w:rsidP="003740BB">
      <w:pPr>
        <w:pStyle w:val="Sinespaciado"/>
        <w:ind w:left="706"/>
        <w:jc w:val="both"/>
        <w:rPr>
          <w:rFonts w:ascii="Verdana" w:eastAsiaTheme="minorHAnsi" w:hAnsi="Verdana" w:cs="Arial"/>
          <w:color w:val="212121"/>
          <w:sz w:val="22"/>
          <w:szCs w:val="22"/>
          <w:lang w:val="es-ES"/>
        </w:rPr>
      </w:pPr>
    </w:p>
    <w:p w14:paraId="77221F21" w14:textId="6A9F4566" w:rsidR="003740BB" w:rsidRPr="00B406D7" w:rsidRDefault="00FA225B" w:rsidP="003740BB">
      <w:pPr>
        <w:pStyle w:val="Sinespaciado"/>
        <w:ind w:left="709" w:right="709"/>
        <w:jc w:val="both"/>
        <w:rPr>
          <w:rFonts w:ascii="Verdana" w:eastAsiaTheme="minorHAnsi" w:hAnsi="Verdana" w:cs="Arial"/>
          <w:color w:val="000000" w:themeColor="text1"/>
          <w:sz w:val="22"/>
          <w:szCs w:val="22"/>
          <w:lang w:val="es-ES"/>
        </w:rPr>
      </w:pPr>
      <w:r w:rsidRPr="00B406D7">
        <w:rPr>
          <w:rFonts w:ascii="Verdana" w:eastAsiaTheme="minorHAnsi" w:hAnsi="Verdana" w:cs="Arial"/>
          <w:color w:val="000000" w:themeColor="text1"/>
          <w:sz w:val="22"/>
          <w:szCs w:val="22"/>
          <w:lang w:val="es-ES"/>
        </w:rPr>
        <w:lastRenderedPageBreak/>
        <w:t>“</w:t>
      </w:r>
      <w:r w:rsidR="003740BB" w:rsidRPr="00B406D7">
        <w:rPr>
          <w:rFonts w:ascii="Verdana" w:eastAsiaTheme="minorHAnsi" w:hAnsi="Verdana" w:cs="Arial"/>
          <w:color w:val="000000" w:themeColor="text1"/>
          <w:sz w:val="22"/>
          <w:szCs w:val="22"/>
          <w:lang w:val="es-ES"/>
        </w:rPr>
        <w:t>ARTÍCULO 4o. Adiciónese el siguiente parágrafo al artículo 2o de la Ley 1150 de 2007:</w:t>
      </w:r>
    </w:p>
    <w:p w14:paraId="73113CFB" w14:textId="77777777" w:rsidR="003740BB" w:rsidRPr="00B406D7" w:rsidRDefault="003740BB" w:rsidP="003740BB">
      <w:pPr>
        <w:pStyle w:val="Sinespaciado"/>
        <w:ind w:left="709" w:right="709"/>
        <w:jc w:val="both"/>
        <w:rPr>
          <w:rFonts w:ascii="Verdana" w:eastAsiaTheme="minorHAnsi" w:hAnsi="Verdana" w:cs="Arial"/>
          <w:color w:val="000000" w:themeColor="text1"/>
          <w:sz w:val="22"/>
          <w:szCs w:val="22"/>
          <w:lang w:val="es-ES"/>
        </w:rPr>
      </w:pPr>
    </w:p>
    <w:p w14:paraId="775D5D18" w14:textId="77777777" w:rsidR="003740BB" w:rsidRPr="00B406D7" w:rsidRDefault="003740BB" w:rsidP="003740BB">
      <w:pPr>
        <w:pStyle w:val="Sinespaciado"/>
        <w:ind w:left="709" w:right="709"/>
        <w:jc w:val="both"/>
        <w:rPr>
          <w:rFonts w:ascii="Verdana" w:eastAsiaTheme="minorHAnsi" w:hAnsi="Verdana" w:cs="Arial"/>
          <w:color w:val="000000" w:themeColor="text1"/>
          <w:sz w:val="22"/>
          <w:szCs w:val="22"/>
          <w:lang w:val="es-ES"/>
        </w:rPr>
      </w:pPr>
      <w:r w:rsidRPr="00B406D7">
        <w:rPr>
          <w:rFonts w:ascii="Verdana" w:eastAsiaTheme="minorHAnsi" w:hAnsi="Verdana" w:cs="Arial"/>
          <w:color w:val="000000" w:themeColor="text1"/>
          <w:sz w:val="22"/>
          <w:szCs w:val="22"/>
          <w:lang w:val="es-ES"/>
        </w:rPr>
        <w:t xml:space="preserve">PARÁGRAFO 7. El Gobierno nacional adoptará documentos tipo para los pliegos de condiciones de los procesos de selección de obras públicas, interventoría para las obras públicas, interventoría para consultoría de estudios y diseños para obras públicas, consultoría en ingeniería para obras, </w:t>
      </w:r>
      <w:r w:rsidRPr="00B406D7">
        <w:rPr>
          <w:rFonts w:ascii="Verdana" w:eastAsiaTheme="minorHAnsi" w:hAnsi="Verdana" w:cs="Arial"/>
          <w:color w:val="000000" w:themeColor="text1"/>
          <w:sz w:val="22"/>
          <w:szCs w:val="22"/>
          <w:u w:val="single"/>
          <w:lang w:val="es-ES"/>
        </w:rPr>
        <w:t>los cuales deberán ser utilizados por todas las entidades sometidas al Estatuto General de la Contratación de la Administración Pública en los procesos de selección que adelanten</w:t>
      </w:r>
      <w:r w:rsidRPr="00B406D7">
        <w:rPr>
          <w:rFonts w:ascii="Verdana" w:eastAsiaTheme="minorHAnsi" w:hAnsi="Verdana" w:cs="Arial"/>
          <w:color w:val="000000" w:themeColor="text1"/>
          <w:sz w:val="22"/>
          <w:szCs w:val="22"/>
          <w:lang w:val="es-ES"/>
        </w:rPr>
        <w:t xml:space="preserve">. Dentro de los documentos tipo el Gobierno adoptará de manera general </w:t>
      </w:r>
      <w:r w:rsidRPr="00B406D7">
        <w:rPr>
          <w:rFonts w:ascii="Verdana" w:eastAsiaTheme="minorHAnsi" w:hAnsi="Verdana" w:cs="Arial"/>
          <w:color w:val="000000" w:themeColor="text1"/>
          <w:sz w:val="22"/>
          <w:szCs w:val="22"/>
          <w:u w:val="single"/>
          <w:lang w:val="es-ES"/>
        </w:rPr>
        <w:t>y con alcance obligatorio para todas las entidades sometidas al Estatuto General de Contratación de la Administración Pública</w:t>
      </w:r>
      <w:r w:rsidRPr="00B406D7">
        <w:rPr>
          <w:rFonts w:ascii="Verdana" w:eastAsiaTheme="minorHAnsi" w:hAnsi="Verdana" w:cs="Arial"/>
          <w:color w:val="000000" w:themeColor="text1"/>
          <w:sz w:val="22"/>
          <w:szCs w:val="22"/>
          <w:lang w:val="es-ES"/>
        </w:rPr>
        <w:t>, las condiciones habilitantes, así como los factores técnicos y económicos de escogencia, según corresponda a cada modalidad de selección y la ponderación precisa y detallada de los mismos, que deberán incluirse en los pliegos de condiciones, teniendo en cuenta la naturaleza y cuantía de los contratos. Para la adopción de esta reglamentación el Gobierno tendrá en cuenta las características propias de las regiones con el ánimo de promover el empleo local.</w:t>
      </w:r>
    </w:p>
    <w:p w14:paraId="53C961EC" w14:textId="77777777" w:rsidR="003740BB" w:rsidRPr="00B406D7" w:rsidRDefault="003740BB" w:rsidP="003740BB">
      <w:pPr>
        <w:pStyle w:val="Sinespaciado"/>
        <w:ind w:left="709" w:right="709"/>
        <w:jc w:val="both"/>
        <w:rPr>
          <w:rFonts w:ascii="Verdana" w:eastAsiaTheme="minorHAnsi" w:hAnsi="Verdana" w:cs="Arial"/>
          <w:color w:val="000000" w:themeColor="text1"/>
          <w:sz w:val="22"/>
          <w:szCs w:val="22"/>
          <w:lang w:val="es-ES"/>
        </w:rPr>
      </w:pPr>
    </w:p>
    <w:p w14:paraId="6FBE6C7B" w14:textId="76EE6CD9" w:rsidR="003740BB" w:rsidRPr="00B406D7" w:rsidRDefault="003740BB" w:rsidP="003740BB">
      <w:pPr>
        <w:pStyle w:val="Sinespaciado"/>
        <w:ind w:left="709" w:right="709"/>
        <w:jc w:val="both"/>
        <w:rPr>
          <w:rFonts w:ascii="Verdana" w:eastAsiaTheme="minorHAnsi" w:hAnsi="Verdana" w:cs="Arial"/>
          <w:color w:val="000000" w:themeColor="text1"/>
          <w:sz w:val="22"/>
          <w:szCs w:val="22"/>
          <w:lang w:val="es-ES"/>
        </w:rPr>
      </w:pPr>
      <w:r w:rsidRPr="00B406D7">
        <w:rPr>
          <w:rFonts w:ascii="Verdana" w:eastAsiaTheme="minorHAnsi" w:hAnsi="Verdana" w:cs="Arial"/>
          <w:color w:val="000000" w:themeColor="text1"/>
          <w:sz w:val="22"/>
          <w:szCs w:val="22"/>
          <w:u w:val="single"/>
          <w:lang w:val="es-ES"/>
        </w:rPr>
        <w:t>La facultad de adoptar documentos tipo la tendrá el Gobierno nacional, cuando lo considere necesario, en relación con otros contratos o procesos de selección</w:t>
      </w:r>
      <w:r w:rsidRPr="00B406D7">
        <w:rPr>
          <w:rFonts w:ascii="Verdana" w:eastAsiaTheme="minorHAnsi" w:hAnsi="Verdana" w:cs="Arial"/>
          <w:color w:val="000000" w:themeColor="text1"/>
          <w:sz w:val="22"/>
          <w:szCs w:val="22"/>
          <w:lang w:val="es-ES"/>
        </w:rPr>
        <w:t>. […]</w:t>
      </w:r>
      <w:r w:rsidR="00FA225B" w:rsidRPr="00B406D7">
        <w:rPr>
          <w:rFonts w:ascii="Verdana" w:eastAsiaTheme="minorHAnsi" w:hAnsi="Verdana" w:cs="Arial"/>
          <w:color w:val="000000" w:themeColor="text1"/>
          <w:sz w:val="22"/>
          <w:szCs w:val="22"/>
          <w:lang w:val="es-ES"/>
        </w:rPr>
        <w:t>”</w:t>
      </w:r>
      <w:r w:rsidRPr="00B406D7">
        <w:rPr>
          <w:rFonts w:ascii="Verdana" w:eastAsiaTheme="minorHAnsi" w:hAnsi="Verdana" w:cs="Arial"/>
          <w:color w:val="000000" w:themeColor="text1"/>
          <w:sz w:val="22"/>
          <w:szCs w:val="22"/>
          <w:lang w:val="es-ES"/>
        </w:rPr>
        <w:t xml:space="preserve"> (Subrayas propias).</w:t>
      </w:r>
    </w:p>
    <w:p w14:paraId="77548B0A" w14:textId="77777777" w:rsidR="003740BB" w:rsidRPr="00B406D7" w:rsidRDefault="003740BB" w:rsidP="003740BB">
      <w:pPr>
        <w:pStyle w:val="Normal11pt"/>
        <w:ind w:left="0" w:right="51"/>
        <w:rPr>
          <w:rFonts w:ascii="Verdana" w:eastAsiaTheme="minorHAnsi" w:hAnsi="Verdana"/>
          <w:color w:val="000000" w:themeColor="text1"/>
          <w:lang w:val="es-ES"/>
        </w:rPr>
      </w:pPr>
      <w:r w:rsidRPr="00B406D7">
        <w:rPr>
          <w:rFonts w:ascii="Verdana" w:eastAsiaTheme="minorHAnsi" w:hAnsi="Verdana"/>
          <w:color w:val="000000" w:themeColor="text1"/>
          <w:lang w:val="es-ES"/>
        </w:rPr>
        <w:t xml:space="preserve"> </w:t>
      </w:r>
    </w:p>
    <w:p w14:paraId="0166EF41" w14:textId="77777777" w:rsidR="003740BB" w:rsidRPr="00B406D7" w:rsidRDefault="003740BB" w:rsidP="003740BB">
      <w:pPr>
        <w:pStyle w:val="Normal11pt"/>
        <w:ind w:left="0" w:right="51"/>
        <w:rPr>
          <w:rFonts w:ascii="Verdana" w:hAnsi="Verdana"/>
          <w:color w:val="auto"/>
          <w:lang w:val="es-CO"/>
        </w:rPr>
      </w:pPr>
      <w:r w:rsidRPr="00B406D7">
        <w:rPr>
          <w:rFonts w:ascii="Verdana" w:hAnsi="Verdana"/>
          <w:color w:val="auto"/>
          <w:lang w:val="es-CO"/>
        </w:rPr>
        <w:t xml:space="preserve">Los argumentos de la Corte Constitucional para declarar la </w:t>
      </w:r>
      <w:proofErr w:type="spellStart"/>
      <w:r w:rsidRPr="00B406D7">
        <w:rPr>
          <w:rFonts w:ascii="Verdana" w:hAnsi="Verdana"/>
          <w:color w:val="auto"/>
          <w:lang w:val="es-CO"/>
        </w:rPr>
        <w:t>exequibilidad</w:t>
      </w:r>
      <w:proofErr w:type="spellEnd"/>
      <w:r w:rsidRPr="00B406D7">
        <w:rPr>
          <w:rFonts w:ascii="Verdana" w:hAnsi="Verdana"/>
          <w:color w:val="auto"/>
          <w:lang w:val="es-CO"/>
        </w:rPr>
        <w:t xml:space="preserve"> de la disposición anterior, se sintetizan así:</w:t>
      </w:r>
    </w:p>
    <w:p w14:paraId="64F54463" w14:textId="77777777" w:rsidR="003740BB" w:rsidRPr="00B406D7" w:rsidRDefault="003740BB" w:rsidP="003740BB">
      <w:pPr>
        <w:spacing w:after="0"/>
        <w:ind w:right="759"/>
        <w:jc w:val="both"/>
        <w:rPr>
          <w:rFonts w:ascii="Verdana" w:hAnsi="Verdana" w:cs="Arial"/>
          <w:i/>
          <w:iCs/>
          <w:color w:val="000000"/>
        </w:rPr>
      </w:pPr>
      <w:r w:rsidRPr="00B406D7">
        <w:rPr>
          <w:rFonts w:ascii="Verdana" w:hAnsi="Verdana" w:cs="Arial"/>
          <w:color w:val="000000"/>
        </w:rPr>
        <w:t xml:space="preserve"> </w:t>
      </w:r>
    </w:p>
    <w:p w14:paraId="304D7783" w14:textId="579035E4" w:rsidR="003740BB" w:rsidRPr="00B406D7" w:rsidRDefault="00FA225B" w:rsidP="003740BB">
      <w:pPr>
        <w:pStyle w:val="Sinespaciado"/>
        <w:ind w:left="709" w:right="709"/>
        <w:jc w:val="both"/>
        <w:rPr>
          <w:rFonts w:ascii="Verdana" w:eastAsiaTheme="minorHAnsi" w:hAnsi="Verdana" w:cs="Arial"/>
          <w:color w:val="000000" w:themeColor="text1"/>
          <w:sz w:val="22"/>
          <w:szCs w:val="22"/>
          <w:lang w:val="es-ES"/>
        </w:rPr>
      </w:pPr>
      <w:r w:rsidRPr="00B406D7">
        <w:rPr>
          <w:rFonts w:ascii="Verdana" w:eastAsiaTheme="minorHAnsi" w:hAnsi="Verdana" w:cs="Arial"/>
          <w:color w:val="000000" w:themeColor="text1"/>
          <w:sz w:val="22"/>
          <w:szCs w:val="22"/>
          <w:lang w:val="es-ES"/>
        </w:rPr>
        <w:t>“</w:t>
      </w:r>
      <w:r w:rsidR="003740BB" w:rsidRPr="00B406D7">
        <w:rPr>
          <w:rFonts w:ascii="Verdana" w:eastAsiaTheme="minorHAnsi" w:hAnsi="Verdana" w:cs="Arial"/>
          <w:color w:val="000000" w:themeColor="text1"/>
          <w:sz w:val="22"/>
          <w:szCs w:val="22"/>
          <w:lang w:val="es-ES"/>
        </w:rPr>
        <w:t xml:space="preserve">[…] Encontró la Corte en el control abstracto de constitucionalidad, que de la norma no surge vulneración alguna de la autonomía de los entes territoriales, en cuanto que la estandarización se predica únicamente de los requisitos habilitantes y los criterios de escogencia, elementos propios del procedimiento de selección de contratistas, materia en la que existe reserva de ley, el Legislador goza de un amplio margen de configuración normativa y que no se encuentra atribuida a la regulación de las entidades territoriales. Resaltó que la norma cuestionada no interfiere en la facultad de las entidades territoriales para gestionar sus propios intereses, la que, en materia contractual, se predica particularmente de la identificación autónoma de sus necesidades y la configuración de los elementos del contrato. Finalmente, indicó que el respeto de la autonomía de las entidades territoriales, así como del principio constitucional de eficacia de la función administrativa, se garantiza a través de los mecanismos institucionales de control abstracto de validez de actos administrativos, ante la Jurisdicción de lo Contencioso Administrativo y concreto, mediante </w:t>
      </w:r>
      <w:r w:rsidR="003740BB" w:rsidRPr="00B406D7">
        <w:rPr>
          <w:rFonts w:ascii="Verdana" w:eastAsiaTheme="minorHAnsi" w:hAnsi="Verdana" w:cs="Arial"/>
          <w:color w:val="000000" w:themeColor="text1"/>
          <w:sz w:val="22"/>
          <w:szCs w:val="22"/>
          <w:lang w:val="es-ES"/>
        </w:rPr>
        <w:lastRenderedPageBreak/>
        <w:t>la excepción de inconstitucionalidad la que exige la expedición de un acto administrativo motivado e involucra la responsabilidad por su adopción.</w:t>
      </w:r>
      <w:r w:rsidRPr="00B406D7">
        <w:rPr>
          <w:rFonts w:ascii="Verdana" w:eastAsiaTheme="minorHAnsi" w:hAnsi="Verdana" w:cs="Arial"/>
          <w:color w:val="000000" w:themeColor="text1"/>
          <w:sz w:val="22"/>
          <w:szCs w:val="22"/>
          <w:lang w:val="es-ES"/>
        </w:rPr>
        <w:t>”</w:t>
      </w:r>
    </w:p>
    <w:p w14:paraId="26EEB0F6" w14:textId="77777777" w:rsidR="003740BB" w:rsidRPr="00B406D7" w:rsidRDefault="003740BB" w:rsidP="003740BB">
      <w:pPr>
        <w:pStyle w:val="Normal11pt"/>
        <w:ind w:left="0" w:right="51"/>
        <w:rPr>
          <w:rFonts w:ascii="Verdana" w:hAnsi="Verdana"/>
          <w:color w:val="auto"/>
          <w:lang w:val="es-CO"/>
        </w:rPr>
      </w:pPr>
    </w:p>
    <w:p w14:paraId="2B43DCF3" w14:textId="6B0CA1B6" w:rsidR="003740BB" w:rsidRPr="00B406D7" w:rsidRDefault="003740BB" w:rsidP="0041436A">
      <w:pPr>
        <w:spacing w:after="0"/>
        <w:jc w:val="both"/>
        <w:rPr>
          <w:rFonts w:ascii="Verdana" w:eastAsia="Times New Roman" w:hAnsi="Verdana" w:cs="Arial"/>
          <w:lang w:val="es-CO" w:eastAsia="es-ES"/>
        </w:rPr>
      </w:pPr>
      <w:r w:rsidRPr="00B406D7">
        <w:rPr>
          <w:rFonts w:ascii="Verdana" w:eastAsia="Times New Roman" w:hAnsi="Verdana" w:cs="Arial"/>
          <w:lang w:val="es-CO" w:eastAsia="es-ES"/>
        </w:rPr>
        <w:t xml:space="preserve">En este </w:t>
      </w:r>
      <w:proofErr w:type="gramStart"/>
      <w:r w:rsidRPr="00B406D7">
        <w:rPr>
          <w:rFonts w:ascii="Verdana" w:eastAsia="Times New Roman" w:hAnsi="Verdana" w:cs="Arial"/>
          <w:lang w:val="es-CO" w:eastAsia="es-ES"/>
        </w:rPr>
        <w:t>sentido,  la</w:t>
      </w:r>
      <w:proofErr w:type="gramEnd"/>
      <w:r w:rsidRPr="00B406D7">
        <w:rPr>
          <w:rFonts w:ascii="Verdana" w:eastAsia="Times New Roman" w:hAnsi="Verdana" w:cs="Arial"/>
          <w:lang w:val="es-CO" w:eastAsia="es-ES"/>
        </w:rPr>
        <w:t xml:space="preserve"> Corte Constitucional estableció que la circunstancia de que en los documentos tipo se estandaricen los requisitos habilitantes y los factores de escogencia de los contratistas no vulnera la autonomía territorial, puesto que estos criterios son elementos propios del proceso de selección y, por tanto, gozan de reserva de ley. Más aun, este principio de autonomía de las entidades territoriales se garantiza teniendo en cuenta que conservan la discrecionalidad administrativa para identificar sus necesidades, ejecutar su presupuesto y definir los elementos propios del contrato. </w:t>
      </w:r>
      <w:r w:rsidR="002C6CD8" w:rsidRPr="00B406D7">
        <w:rPr>
          <w:rFonts w:ascii="Verdana" w:eastAsia="Times New Roman" w:hAnsi="Verdana" w:cs="Arial"/>
          <w:lang w:val="es-CO" w:eastAsia="es-ES"/>
        </w:rPr>
        <w:t>Mediante el precedente judicial mencionado se di</w:t>
      </w:r>
      <w:r w:rsidR="0041436A" w:rsidRPr="00B406D7">
        <w:rPr>
          <w:rFonts w:ascii="Verdana" w:eastAsia="Times New Roman" w:hAnsi="Verdana" w:cs="Arial"/>
          <w:lang w:val="es-CO" w:eastAsia="es-ES"/>
        </w:rPr>
        <w:t>o</w:t>
      </w:r>
      <w:r w:rsidRPr="00B406D7">
        <w:rPr>
          <w:rFonts w:ascii="Verdana" w:eastAsia="Times New Roman" w:hAnsi="Verdana" w:cs="Arial"/>
          <w:lang w:val="es-CO" w:eastAsia="es-ES"/>
        </w:rPr>
        <w:t xml:space="preserve"> lugar a la declaratoria de </w:t>
      </w:r>
      <w:proofErr w:type="spellStart"/>
      <w:r w:rsidRPr="00B406D7">
        <w:rPr>
          <w:rFonts w:ascii="Verdana" w:eastAsia="Times New Roman" w:hAnsi="Verdana" w:cs="Arial"/>
          <w:lang w:val="es-CO" w:eastAsia="es-ES"/>
        </w:rPr>
        <w:t>exequibilidad</w:t>
      </w:r>
      <w:proofErr w:type="spellEnd"/>
      <w:r w:rsidRPr="00B406D7">
        <w:rPr>
          <w:rFonts w:ascii="Verdana" w:eastAsia="Times New Roman" w:hAnsi="Verdana" w:cs="Arial"/>
          <w:lang w:val="es-CO" w:eastAsia="es-ES"/>
        </w:rPr>
        <w:t xml:space="preserve"> del artículo 4 de la Ley 1882 de 2018, </w:t>
      </w:r>
      <w:r w:rsidR="0041436A" w:rsidRPr="00B406D7">
        <w:rPr>
          <w:rFonts w:ascii="Verdana" w:eastAsia="Times New Roman" w:hAnsi="Verdana" w:cs="Arial"/>
          <w:lang w:val="es-CO" w:eastAsia="es-ES"/>
        </w:rPr>
        <w:t>no obstante, estas razones también son</w:t>
      </w:r>
      <w:r w:rsidRPr="00B406D7">
        <w:rPr>
          <w:rFonts w:ascii="Verdana" w:eastAsia="Times New Roman" w:hAnsi="Verdana" w:cs="Arial"/>
          <w:lang w:val="es-CO" w:eastAsia="es-ES"/>
        </w:rPr>
        <w:t xml:space="preserve"> aplicables al artículo 1 de la Ley 2022 de 2020.</w:t>
      </w:r>
    </w:p>
    <w:p w14:paraId="20D7F38A" w14:textId="77777777" w:rsidR="0041436A" w:rsidRPr="00B406D7" w:rsidRDefault="0041436A" w:rsidP="0041436A">
      <w:pPr>
        <w:spacing w:after="0"/>
        <w:jc w:val="both"/>
        <w:rPr>
          <w:rFonts w:ascii="Verdana" w:eastAsia="Times New Roman" w:hAnsi="Verdana" w:cs="Arial"/>
          <w:lang w:val="es-CO" w:eastAsia="es-ES"/>
        </w:rPr>
      </w:pPr>
    </w:p>
    <w:p w14:paraId="658016A4" w14:textId="5AF5F02D" w:rsidR="003740BB" w:rsidRPr="00B406D7" w:rsidRDefault="00D400AA" w:rsidP="004D28C3">
      <w:pPr>
        <w:pStyle w:val="Normal11pt"/>
        <w:snapToGrid w:val="0"/>
        <w:ind w:left="0" w:right="51"/>
        <w:rPr>
          <w:rFonts w:ascii="Verdana" w:hAnsi="Verdana"/>
          <w:b/>
          <w:color w:val="auto"/>
          <w:lang w:val="es-CO"/>
        </w:rPr>
      </w:pPr>
      <w:r w:rsidRPr="00B406D7">
        <w:rPr>
          <w:rFonts w:ascii="Verdana" w:hAnsi="Verdana"/>
          <w:b/>
          <w:color w:val="auto"/>
          <w:lang w:val="es-CO"/>
        </w:rPr>
        <w:t xml:space="preserve">3.2. </w:t>
      </w:r>
      <w:r w:rsidR="003740BB" w:rsidRPr="00B406D7">
        <w:rPr>
          <w:rFonts w:ascii="Verdana" w:hAnsi="Verdana"/>
          <w:b/>
          <w:color w:val="auto"/>
          <w:lang w:val="es-CO"/>
        </w:rPr>
        <w:t xml:space="preserve">Ejercicio de la potestad reglamentaria </w:t>
      </w:r>
    </w:p>
    <w:p w14:paraId="44D9A9B0" w14:textId="77777777" w:rsidR="004D28C3" w:rsidRPr="00B406D7" w:rsidRDefault="004D28C3" w:rsidP="004D28C3">
      <w:pPr>
        <w:pStyle w:val="Normal11pt"/>
        <w:snapToGrid w:val="0"/>
        <w:ind w:left="0" w:right="51"/>
        <w:rPr>
          <w:rFonts w:ascii="Verdana" w:hAnsi="Verdana"/>
          <w:b/>
          <w:color w:val="auto"/>
          <w:lang w:val="es-CO"/>
        </w:rPr>
      </w:pPr>
    </w:p>
    <w:p w14:paraId="7DF16C8A" w14:textId="715FDA35" w:rsidR="003740BB" w:rsidRPr="00B406D7" w:rsidRDefault="003740BB" w:rsidP="004D28C3">
      <w:pPr>
        <w:snapToGrid w:val="0"/>
        <w:spacing w:after="0" w:line="240" w:lineRule="auto"/>
        <w:ind w:right="51"/>
        <w:jc w:val="both"/>
        <w:rPr>
          <w:rFonts w:ascii="Verdana" w:eastAsia="Times New Roman" w:hAnsi="Verdana" w:cs="Arial"/>
        </w:rPr>
      </w:pPr>
      <w:r w:rsidRPr="00B406D7">
        <w:rPr>
          <w:rFonts w:ascii="Verdana" w:eastAsia="Times New Roman" w:hAnsi="Verdana" w:cs="Arial"/>
          <w:lang w:eastAsia="es-ES"/>
        </w:rPr>
        <w:t>La jurisprudencia de la Corte Constitucional</w:t>
      </w:r>
      <w:r w:rsidRPr="00B406D7">
        <w:rPr>
          <w:rStyle w:val="Refdenotaalpie"/>
          <w:rFonts w:ascii="Verdana" w:eastAsia="Times New Roman" w:hAnsi="Verdana" w:cs="Arial"/>
          <w:lang w:eastAsia="es-ES"/>
        </w:rPr>
        <w:footnoteReference w:id="12"/>
      </w:r>
      <w:r w:rsidRPr="00B406D7">
        <w:rPr>
          <w:rFonts w:ascii="Verdana" w:eastAsia="Times New Roman" w:hAnsi="Verdana" w:cs="Arial"/>
          <w:lang w:eastAsia="es-ES"/>
        </w:rPr>
        <w:t xml:space="preserve"> y el Consejo de Estado</w:t>
      </w:r>
      <w:r w:rsidRPr="00B406D7">
        <w:rPr>
          <w:rStyle w:val="Refdenotaalpie"/>
          <w:rFonts w:ascii="Verdana" w:eastAsia="Times New Roman" w:hAnsi="Verdana" w:cs="Arial"/>
          <w:lang w:eastAsia="es-ES"/>
        </w:rPr>
        <w:footnoteReference w:id="13"/>
      </w:r>
      <w:r w:rsidRPr="00B406D7">
        <w:rPr>
          <w:rFonts w:ascii="Verdana" w:eastAsia="Times New Roman" w:hAnsi="Verdana" w:cs="Arial"/>
          <w:lang w:eastAsia="es-ES"/>
        </w:rPr>
        <w:t xml:space="preserve"> coinciden en afirmar que la potestad reglamentaria no recae exclusivamente en el </w:t>
      </w:r>
      <w:proofErr w:type="gramStart"/>
      <w:r w:rsidRPr="00B406D7">
        <w:rPr>
          <w:rFonts w:ascii="Verdana" w:eastAsia="Times New Roman" w:hAnsi="Verdana" w:cs="Arial"/>
          <w:lang w:eastAsia="es-ES"/>
        </w:rPr>
        <w:t>Presidente</w:t>
      </w:r>
      <w:proofErr w:type="gramEnd"/>
      <w:r w:rsidRPr="00B406D7">
        <w:rPr>
          <w:rFonts w:ascii="Verdana" w:eastAsia="Times New Roman" w:hAnsi="Verdana" w:cs="Arial"/>
          <w:lang w:eastAsia="es-ES"/>
        </w:rPr>
        <w:t xml:space="preserve"> de la República y que en Colombia opera un </w:t>
      </w:r>
      <w:r w:rsidR="00003C40" w:rsidRPr="00B406D7">
        <w:rPr>
          <w:rFonts w:ascii="Verdana" w:eastAsia="Times New Roman" w:hAnsi="Verdana" w:cs="Arial"/>
          <w:lang w:eastAsia="es-ES"/>
        </w:rPr>
        <w:t>“</w:t>
      </w:r>
      <w:r w:rsidRPr="00B406D7">
        <w:rPr>
          <w:rFonts w:ascii="Verdana" w:eastAsia="Times New Roman" w:hAnsi="Verdana" w:cs="Arial"/>
          <w:lang w:eastAsia="es-ES"/>
        </w:rPr>
        <w:t>sistema difuso</w:t>
      </w:r>
      <w:r w:rsidR="00003C40" w:rsidRPr="00B406D7">
        <w:rPr>
          <w:rFonts w:ascii="Verdana" w:eastAsia="Times New Roman" w:hAnsi="Verdana" w:cs="Arial"/>
          <w:lang w:eastAsia="es-ES"/>
        </w:rPr>
        <w:t>”</w:t>
      </w:r>
      <w:r w:rsidRPr="00B406D7">
        <w:rPr>
          <w:rFonts w:ascii="Verdana" w:eastAsia="Times New Roman" w:hAnsi="Verdana" w:cs="Arial"/>
          <w:lang w:eastAsia="es-ES"/>
        </w:rPr>
        <w:t xml:space="preserve"> de producción normativa de carácter general. </w:t>
      </w:r>
      <w:r w:rsidRPr="00B406D7">
        <w:rPr>
          <w:rFonts w:ascii="Verdana" w:eastAsia="Times New Roman" w:hAnsi="Verdana" w:cs="Arial"/>
        </w:rPr>
        <w:t>Además, señalan que son dos los elementos fundamentales de la potestad reglamentaria, a saber:</w:t>
      </w:r>
    </w:p>
    <w:p w14:paraId="2051E393" w14:textId="77777777" w:rsidR="004D28C3" w:rsidRPr="00B406D7" w:rsidRDefault="004D28C3" w:rsidP="004D28C3">
      <w:pPr>
        <w:snapToGrid w:val="0"/>
        <w:spacing w:after="0" w:line="240" w:lineRule="auto"/>
        <w:ind w:right="51"/>
        <w:jc w:val="both"/>
        <w:rPr>
          <w:rFonts w:ascii="Verdana" w:eastAsia="Times New Roman" w:hAnsi="Verdana" w:cs="Arial"/>
        </w:rPr>
      </w:pPr>
    </w:p>
    <w:p w14:paraId="31DDD79B" w14:textId="77777777" w:rsidR="003740BB" w:rsidRPr="00B406D7" w:rsidRDefault="003740BB" w:rsidP="004D28C3">
      <w:pPr>
        <w:pStyle w:val="Prrafodelista"/>
        <w:numPr>
          <w:ilvl w:val="0"/>
          <w:numId w:val="4"/>
        </w:numPr>
        <w:snapToGrid w:val="0"/>
        <w:spacing w:after="0" w:line="240" w:lineRule="auto"/>
        <w:ind w:left="360" w:right="51"/>
        <w:contextualSpacing w:val="0"/>
        <w:jc w:val="both"/>
        <w:rPr>
          <w:rFonts w:ascii="Verdana" w:eastAsia="Times New Roman" w:hAnsi="Verdana" w:cs="Arial"/>
          <w:lang w:val="es-ES_tradnl"/>
        </w:rPr>
      </w:pPr>
      <w:r w:rsidRPr="00B406D7">
        <w:rPr>
          <w:rFonts w:ascii="Verdana" w:eastAsia="Times New Roman" w:hAnsi="Verdana" w:cs="Arial"/>
          <w:b/>
          <w:bCs/>
          <w:lang w:val="es-ES"/>
        </w:rPr>
        <w:t>Necesidad:</w:t>
      </w:r>
      <w:r w:rsidRPr="00B406D7">
        <w:rPr>
          <w:rFonts w:ascii="Verdana" w:eastAsia="Times New Roman" w:hAnsi="Verdana" w:cs="Arial"/>
          <w:lang w:val="es-ES"/>
        </w:rPr>
        <w:t xml:space="preserve"> consiste en que el ejercicio de la potestad reglamentaria se justifica en la medida en que la ley haya dejado espacios de regulación que necesitan ser llenados para la ejecución de esta mediante la expedición de actos jurídicos de contenido normativo, pues el legislador puede, en virtud del principio de libertad de configuración legislativa, determinar libremente hasta dónde regula la materia respectiva</w:t>
      </w:r>
      <w:r w:rsidRPr="00B406D7">
        <w:rPr>
          <w:rFonts w:ascii="Verdana" w:hAnsi="Verdana" w:cs="Arial"/>
          <w:vertAlign w:val="superscript"/>
        </w:rPr>
        <w:footnoteReference w:id="14"/>
      </w:r>
      <w:r w:rsidRPr="00B406D7">
        <w:rPr>
          <w:rFonts w:ascii="Verdana" w:eastAsia="Times New Roman" w:hAnsi="Verdana" w:cs="Arial"/>
          <w:lang w:val="es-ES"/>
        </w:rPr>
        <w:t xml:space="preserve">; </w:t>
      </w:r>
    </w:p>
    <w:p w14:paraId="26A51753" w14:textId="77777777" w:rsidR="003740BB" w:rsidRPr="00B406D7" w:rsidRDefault="003740BB" w:rsidP="004D28C3">
      <w:pPr>
        <w:pStyle w:val="Prrafodelista"/>
        <w:snapToGrid w:val="0"/>
        <w:spacing w:after="0" w:line="240" w:lineRule="auto"/>
        <w:ind w:left="0" w:right="51"/>
        <w:contextualSpacing w:val="0"/>
        <w:jc w:val="both"/>
        <w:rPr>
          <w:rFonts w:ascii="Verdana" w:eastAsia="Times New Roman" w:hAnsi="Verdana" w:cs="Arial"/>
          <w:lang w:val="es-ES_tradnl"/>
        </w:rPr>
      </w:pPr>
    </w:p>
    <w:p w14:paraId="267C7F9B" w14:textId="77777777" w:rsidR="003740BB" w:rsidRPr="00B406D7" w:rsidRDefault="003740BB" w:rsidP="004D28C3">
      <w:pPr>
        <w:pStyle w:val="Prrafodelista"/>
        <w:numPr>
          <w:ilvl w:val="0"/>
          <w:numId w:val="4"/>
        </w:numPr>
        <w:snapToGrid w:val="0"/>
        <w:spacing w:after="0" w:line="240" w:lineRule="auto"/>
        <w:ind w:left="360" w:right="51"/>
        <w:contextualSpacing w:val="0"/>
        <w:jc w:val="both"/>
        <w:rPr>
          <w:rFonts w:ascii="Verdana" w:eastAsia="Times New Roman" w:hAnsi="Verdana" w:cs="Arial"/>
          <w:lang w:val="es-ES_tradnl"/>
        </w:rPr>
      </w:pPr>
      <w:r w:rsidRPr="00B406D7">
        <w:rPr>
          <w:rFonts w:ascii="Verdana" w:eastAsia="Times New Roman" w:hAnsi="Verdana" w:cs="Arial"/>
          <w:b/>
          <w:bCs/>
          <w:lang w:val="es-ES"/>
        </w:rPr>
        <w:t>Finalidad:</w:t>
      </w:r>
      <w:r w:rsidRPr="00B406D7">
        <w:rPr>
          <w:rFonts w:ascii="Verdana" w:eastAsia="Times New Roman" w:hAnsi="Verdana" w:cs="Arial"/>
          <w:lang w:val="es-ES"/>
        </w:rPr>
        <w:t xml:space="preserve"> tiene que ver con el contenido material de los actos que se dicten en ejercicio de la potestad reglamentaria, pues los decretos y resoluciones expedidos </w:t>
      </w:r>
      <w:r w:rsidRPr="00B406D7">
        <w:rPr>
          <w:rFonts w:ascii="Verdana" w:eastAsia="Times New Roman" w:hAnsi="Verdana" w:cs="Arial"/>
          <w:lang w:val="es-ES"/>
        </w:rPr>
        <w:lastRenderedPageBreak/>
        <w:t>por el Gobierno Nacional en ejercicio de dicha potestad están subordinados a la ley, de manera que el reglamento no puede modificarla, ampliarla o restringir sus efectos. Este último elemento, se encuentra asociado por demás al respeto del principio de supremacía normativa, pues el ordenamiento jurídico colombiano supone una jerarquía que emana de la propia Constitución</w:t>
      </w:r>
      <w:r w:rsidRPr="00B406D7">
        <w:rPr>
          <w:rFonts w:ascii="Verdana" w:hAnsi="Verdana" w:cs="Arial"/>
          <w:vertAlign w:val="superscript"/>
        </w:rPr>
        <w:footnoteReference w:id="15"/>
      </w:r>
      <w:r w:rsidRPr="00B406D7">
        <w:rPr>
          <w:rFonts w:ascii="Verdana" w:eastAsia="Times New Roman" w:hAnsi="Verdana" w:cs="Arial"/>
          <w:lang w:val="es-ES"/>
        </w:rPr>
        <w:t>.</w:t>
      </w:r>
    </w:p>
    <w:p w14:paraId="17FB7F54" w14:textId="77777777" w:rsidR="004D28C3" w:rsidRPr="00B406D7" w:rsidRDefault="004D28C3" w:rsidP="004D28C3">
      <w:pPr>
        <w:pStyle w:val="Prrafodelista"/>
        <w:snapToGrid w:val="0"/>
        <w:spacing w:after="0" w:line="240" w:lineRule="auto"/>
        <w:ind w:left="360" w:right="51"/>
        <w:contextualSpacing w:val="0"/>
        <w:jc w:val="both"/>
        <w:rPr>
          <w:rFonts w:ascii="Verdana" w:eastAsia="Times New Roman" w:hAnsi="Verdana" w:cs="Arial"/>
          <w:lang w:val="es-ES_tradnl"/>
        </w:rPr>
      </w:pPr>
    </w:p>
    <w:p w14:paraId="1138167B" w14:textId="77777777" w:rsidR="003740BB" w:rsidRPr="00B406D7" w:rsidRDefault="003740BB" w:rsidP="004D28C3">
      <w:pPr>
        <w:snapToGrid w:val="0"/>
        <w:spacing w:after="0" w:line="240" w:lineRule="auto"/>
        <w:ind w:right="50"/>
        <w:jc w:val="both"/>
        <w:rPr>
          <w:rFonts w:ascii="Verdana" w:eastAsia="Times New Roman" w:hAnsi="Verdana" w:cs="Arial"/>
        </w:rPr>
      </w:pPr>
      <w:r w:rsidRPr="00B406D7">
        <w:rPr>
          <w:rFonts w:ascii="Verdana" w:eastAsia="Times New Roman" w:hAnsi="Verdana" w:cs="Arial"/>
          <w:lang w:eastAsia="es-ES"/>
        </w:rPr>
        <w:t>En efecto, el desarrollo de la potestad reglamentaria exige que la ley haya configurado una materialidad legislativa básica, pues busca convertir en realidad un enunciado normativo abstracto. Los parámetros de esta facultad han sido desarrollados por la jurisprudencia de las Altas Cortes, en especial por la Corte Constitucional, quien a modo de subreglas</w:t>
      </w:r>
      <w:r w:rsidRPr="00B406D7">
        <w:rPr>
          <w:rStyle w:val="Refdenotaalpie"/>
          <w:rFonts w:ascii="Verdana" w:hAnsi="Verdana" w:cs="Arial"/>
        </w:rPr>
        <w:footnoteReference w:id="16"/>
      </w:r>
      <w:r w:rsidRPr="00B406D7">
        <w:rPr>
          <w:rFonts w:ascii="Verdana" w:eastAsia="Times New Roman" w:hAnsi="Verdana" w:cs="Arial"/>
          <w:lang w:eastAsia="es-ES"/>
        </w:rPr>
        <w:t xml:space="preserve"> ha establecido ciertas limitaciones en el ejercicio de esta competencia</w:t>
      </w:r>
      <w:r w:rsidRPr="00B406D7">
        <w:rPr>
          <w:rFonts w:ascii="Verdana" w:eastAsia="Times New Roman" w:hAnsi="Verdana" w:cs="Arial"/>
        </w:rPr>
        <w:t>:</w:t>
      </w:r>
    </w:p>
    <w:p w14:paraId="2922E84F" w14:textId="77777777" w:rsidR="004D28C3" w:rsidRPr="00B406D7" w:rsidRDefault="004D28C3" w:rsidP="004D28C3">
      <w:pPr>
        <w:snapToGrid w:val="0"/>
        <w:spacing w:after="0" w:line="240" w:lineRule="auto"/>
        <w:ind w:right="50"/>
        <w:jc w:val="both"/>
        <w:rPr>
          <w:rFonts w:ascii="Verdana" w:eastAsia="Times New Roman" w:hAnsi="Verdana" w:cs="Arial"/>
          <w:lang w:val="es-ES_tradnl"/>
        </w:rPr>
      </w:pPr>
    </w:p>
    <w:p w14:paraId="2FC336DD" w14:textId="77777777" w:rsidR="003740BB" w:rsidRPr="00B406D7"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B406D7">
        <w:rPr>
          <w:rFonts w:ascii="Verdana" w:eastAsia="Times New Roman" w:hAnsi="Verdana" w:cs="Arial"/>
          <w:lang w:val="es-ES_tradnl"/>
        </w:rPr>
        <w:t xml:space="preserve">La potestad reglamentaria se ve restringida en la medida en que el Congreso de la República utilice en mayor o menor grado sus poderes jurídicos. Tanto así, que se ha manifestado que la misma es inversamente proporcional a la extensión de la ley. </w:t>
      </w:r>
    </w:p>
    <w:p w14:paraId="6F1C8F61" w14:textId="77777777" w:rsidR="003740BB" w:rsidRPr="00B406D7"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B406D7">
        <w:rPr>
          <w:rFonts w:ascii="Verdana" w:eastAsia="Times New Roman" w:hAnsi="Verdana" w:cs="Arial"/>
          <w:lang w:val="es-ES_tradnl"/>
        </w:rPr>
        <w:t xml:space="preserve">El </w:t>
      </w:r>
      <w:proofErr w:type="gramStart"/>
      <w:r w:rsidRPr="00B406D7">
        <w:rPr>
          <w:rFonts w:ascii="Verdana" w:eastAsia="Times New Roman" w:hAnsi="Verdana" w:cs="Arial"/>
          <w:lang w:val="es-ES_tradnl"/>
        </w:rPr>
        <w:t>Presidente</w:t>
      </w:r>
      <w:proofErr w:type="gramEnd"/>
      <w:r w:rsidRPr="00B406D7">
        <w:rPr>
          <w:rFonts w:ascii="Verdana" w:eastAsia="Times New Roman" w:hAnsi="Verdana" w:cs="Arial"/>
          <w:lang w:val="es-ES_tradnl"/>
        </w:rPr>
        <w:t xml:space="preserve"> no podrá establecer por vía de decreto reglamentario una excepción, aun cuando la misma fuera supuestamente temporal, sin que previa y expresamente el legislador lo hubiere autorizado para ello y fijado un límite temporal específico. </w:t>
      </w:r>
    </w:p>
    <w:p w14:paraId="35B566F0" w14:textId="77777777" w:rsidR="003740BB" w:rsidRPr="00B406D7"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B406D7">
        <w:rPr>
          <w:rFonts w:ascii="Verdana" w:eastAsia="Times New Roman" w:hAnsi="Verdana" w:cs="Arial"/>
          <w:lang w:val="es-ES_tradnl"/>
        </w:rPr>
        <w:t xml:space="preserve">Cualquier determinación sobre la vigencia de las leyes solo puede ser definida por el propio legislador. </w:t>
      </w:r>
    </w:p>
    <w:p w14:paraId="0B3AD1D8" w14:textId="77777777" w:rsidR="003740BB" w:rsidRPr="00B406D7"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B406D7">
        <w:rPr>
          <w:rFonts w:ascii="Verdana" w:eastAsia="Times New Roman" w:hAnsi="Verdana" w:cs="Arial"/>
          <w:lang w:val="es-ES_tradnl"/>
        </w:rPr>
        <w:t>El ejercicio de la función reglamentaria no debe sobrepasar ni invadir la competencia del Legislativo, en el sentido de que el reglamento no puede desfigurar la situación regulada por la ley ni hacerla nugatoria.</w:t>
      </w:r>
    </w:p>
    <w:p w14:paraId="6A90F7F9" w14:textId="77777777" w:rsidR="003740BB" w:rsidRPr="00B406D7"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B406D7">
        <w:rPr>
          <w:rFonts w:ascii="Verdana" w:eastAsia="Times New Roman" w:hAnsi="Verdana" w:cs="Arial"/>
          <w:lang w:val="es-ES_tradnl"/>
        </w:rPr>
        <w:t>La potestad reglamentaria no puede incluir requisitos adicionales a los previstos en la ley, y no le es posible al Gobierno desconocer la Constitución ni el contenido o las pautas trazadas en la ley ni reglamentar normas que no ejecuta la administración.</w:t>
      </w:r>
    </w:p>
    <w:p w14:paraId="22671CA1" w14:textId="77777777" w:rsidR="00D400AA" w:rsidRPr="00B406D7" w:rsidRDefault="00D400AA" w:rsidP="004D28C3">
      <w:pPr>
        <w:pStyle w:val="Prrafodelista"/>
        <w:snapToGrid w:val="0"/>
        <w:spacing w:after="0" w:line="240" w:lineRule="auto"/>
        <w:ind w:left="709" w:right="51"/>
        <w:contextualSpacing w:val="0"/>
        <w:jc w:val="both"/>
        <w:rPr>
          <w:rFonts w:ascii="Verdana" w:eastAsia="Times New Roman" w:hAnsi="Verdana" w:cs="Arial"/>
          <w:lang w:val="es-ES_tradnl"/>
        </w:rPr>
      </w:pPr>
    </w:p>
    <w:p w14:paraId="5686079D" w14:textId="18DB0336" w:rsidR="003740BB" w:rsidRPr="00B406D7" w:rsidRDefault="00D400AA" w:rsidP="004D28C3">
      <w:pPr>
        <w:pStyle w:val="Normal11pt"/>
        <w:snapToGrid w:val="0"/>
        <w:ind w:left="0" w:right="51"/>
        <w:rPr>
          <w:rFonts w:ascii="Verdana" w:hAnsi="Verdana"/>
          <w:b/>
          <w:color w:val="auto"/>
          <w:lang w:val="es-CO"/>
        </w:rPr>
      </w:pPr>
      <w:r w:rsidRPr="00B406D7">
        <w:rPr>
          <w:rFonts w:ascii="Verdana" w:hAnsi="Verdana"/>
          <w:b/>
          <w:color w:val="auto"/>
          <w:lang w:val="es-CO"/>
        </w:rPr>
        <w:t xml:space="preserve">3.3. </w:t>
      </w:r>
      <w:r w:rsidR="003740BB" w:rsidRPr="00B406D7">
        <w:rPr>
          <w:rFonts w:ascii="Verdana" w:hAnsi="Verdana"/>
          <w:b/>
          <w:color w:val="auto"/>
          <w:lang w:val="es-CO"/>
        </w:rPr>
        <w:t>Competencia de la Agencia Nacional de Contratación Pública – Colombia Compra Eficiente para adoptar los documentos tipo</w:t>
      </w:r>
    </w:p>
    <w:p w14:paraId="6EDEEB0C" w14:textId="77777777" w:rsidR="003740BB" w:rsidRPr="00B406D7" w:rsidRDefault="003740BB" w:rsidP="004D28C3">
      <w:pPr>
        <w:pStyle w:val="Normal11pt"/>
        <w:snapToGrid w:val="0"/>
        <w:ind w:left="0" w:right="51"/>
        <w:rPr>
          <w:rFonts w:ascii="Verdana" w:hAnsi="Verdana"/>
          <w:b/>
          <w:color w:val="auto"/>
          <w:lang w:val="es-CO"/>
        </w:rPr>
      </w:pPr>
    </w:p>
    <w:p w14:paraId="78EC2377" w14:textId="77A03A0E" w:rsidR="003740BB" w:rsidRPr="00B406D7" w:rsidRDefault="003740BB" w:rsidP="004D28C3">
      <w:pPr>
        <w:snapToGrid w:val="0"/>
        <w:spacing w:after="0" w:line="240" w:lineRule="auto"/>
        <w:jc w:val="both"/>
        <w:rPr>
          <w:rFonts w:ascii="Verdana" w:hAnsi="Verdana" w:cs="Arial"/>
        </w:rPr>
      </w:pPr>
      <w:r w:rsidRPr="00B406D7">
        <w:rPr>
          <w:rFonts w:ascii="Verdana" w:hAnsi="Verdana" w:cs="Arial"/>
        </w:rPr>
        <w:lastRenderedPageBreak/>
        <w:t>Como se explicó en acápites precedentes, el artículo 1 de la Ley 2022 de 2020 –que modificó el parágrafo 7 del artículo 2 de la Ley 1150 de 2007, adicionado por el artículo 4 de la Ley 1882 de 2018– facultó a la Agencia Nacional de Contratación Pública – Colombia Compra Eficiente para adoptar documentos tipo que serán de obligatorio cumplimiento en la actividad contractual de las entidades sometidas al Estatuto General de Contratación de la Administración Pública. De este modo, la intención del legislador fue otorgarle esta facultad al ente rector del Sistema de Compra Pública</w:t>
      </w:r>
      <w:r w:rsidR="00D400AA" w:rsidRPr="00B406D7">
        <w:rPr>
          <w:rFonts w:ascii="Verdana" w:hAnsi="Verdana" w:cs="Arial"/>
        </w:rPr>
        <w:t>.</w:t>
      </w:r>
    </w:p>
    <w:p w14:paraId="369602B3" w14:textId="77777777" w:rsidR="004D28C3" w:rsidRPr="00B406D7" w:rsidRDefault="004D28C3" w:rsidP="004D28C3">
      <w:pPr>
        <w:snapToGrid w:val="0"/>
        <w:spacing w:after="0" w:line="240" w:lineRule="auto"/>
        <w:jc w:val="both"/>
        <w:rPr>
          <w:rFonts w:ascii="Verdana" w:hAnsi="Verdana" w:cs="Arial"/>
        </w:rPr>
      </w:pPr>
    </w:p>
    <w:p w14:paraId="16199308" w14:textId="55F024EF" w:rsidR="003740BB" w:rsidRPr="00B406D7" w:rsidRDefault="003740BB" w:rsidP="004D28C3">
      <w:pPr>
        <w:snapToGrid w:val="0"/>
        <w:spacing w:after="0" w:line="240" w:lineRule="auto"/>
        <w:jc w:val="both"/>
        <w:rPr>
          <w:rFonts w:ascii="Verdana" w:hAnsi="Verdana" w:cs="Arial"/>
        </w:rPr>
      </w:pPr>
      <w:r w:rsidRPr="00B406D7">
        <w:rPr>
          <w:rFonts w:ascii="Verdana" w:hAnsi="Verdana" w:cs="Arial"/>
        </w:rPr>
        <w:t xml:space="preserve">Al respecto, la jurisprudencia constitucional ha reconocido a los organismos y a las autoridades que </w:t>
      </w:r>
      <w:r w:rsidR="00217485" w:rsidRPr="00B406D7">
        <w:rPr>
          <w:rFonts w:ascii="Verdana" w:hAnsi="Verdana" w:cs="Arial"/>
        </w:rPr>
        <w:t>“</w:t>
      </w:r>
      <w:r w:rsidRPr="00B406D7">
        <w:rPr>
          <w:rFonts w:ascii="Verdana" w:hAnsi="Verdana" w:cs="Arial"/>
        </w:rPr>
        <w:t xml:space="preserve">en la jerarquía administrativa lo suceden al </w:t>
      </w:r>
      <w:proofErr w:type="gramStart"/>
      <w:r w:rsidRPr="00B406D7">
        <w:rPr>
          <w:rFonts w:ascii="Verdana" w:hAnsi="Verdana" w:cs="Arial"/>
        </w:rPr>
        <w:t>Presidente</w:t>
      </w:r>
      <w:proofErr w:type="gramEnd"/>
      <w:r w:rsidRPr="00B406D7">
        <w:rPr>
          <w:rFonts w:ascii="Verdana" w:hAnsi="Verdana" w:cs="Arial"/>
        </w:rPr>
        <w:t xml:space="preserve"> de la República, una cierta competencia regulativa, de carácter residual, accesoria o auxiliar, que los habilita para insertar la voluntad del legislador en las últimas posibilidades de aplicación de la norma general</w:t>
      </w:r>
      <w:r w:rsidR="00217485" w:rsidRPr="00B406D7">
        <w:rPr>
          <w:rFonts w:ascii="Verdana" w:hAnsi="Verdana" w:cs="Arial"/>
        </w:rPr>
        <w:t>”</w:t>
      </w:r>
      <w:r w:rsidRPr="00B406D7">
        <w:rPr>
          <w:rStyle w:val="Refdenotaalpie"/>
          <w:rFonts w:ascii="Verdana" w:eastAsia="Times New Roman" w:hAnsi="Verdana" w:cs="Arial"/>
          <w:i/>
          <w:iCs/>
          <w:color w:val="000000"/>
        </w:rPr>
        <w:footnoteReference w:id="17"/>
      </w:r>
      <w:r w:rsidRPr="00B406D7">
        <w:rPr>
          <w:rFonts w:ascii="Verdana" w:hAnsi="Verdana" w:cs="Arial"/>
          <w:i/>
          <w:iCs/>
        </w:rPr>
        <w:t>.</w:t>
      </w:r>
      <w:r w:rsidRPr="00B406D7">
        <w:rPr>
          <w:rFonts w:ascii="Verdana" w:hAnsi="Verdana" w:cs="Arial"/>
        </w:rPr>
        <w:t xml:space="preserve"> Además, el Consejo de Estado, Sección Primera, en la Sentencia del 29 de abril de 2015, expediente 6.096, indicó que es posible que la ley atribuya facultades reglamentarias a otras autoridades administrativas, particularmente a los ministerios, sin que por ello se entienda disminuida la potestad reglamentaria del </w:t>
      </w:r>
      <w:proofErr w:type="gramStart"/>
      <w:r w:rsidRPr="00B406D7">
        <w:rPr>
          <w:rFonts w:ascii="Verdana" w:hAnsi="Verdana" w:cs="Arial"/>
        </w:rPr>
        <w:t>Presidente</w:t>
      </w:r>
      <w:proofErr w:type="gramEnd"/>
      <w:r w:rsidRPr="00B406D7">
        <w:rPr>
          <w:rFonts w:ascii="Verdana" w:hAnsi="Verdana" w:cs="Arial"/>
        </w:rPr>
        <w:t xml:space="preserve"> de la República</w:t>
      </w:r>
      <w:r w:rsidRPr="00B406D7">
        <w:rPr>
          <w:rStyle w:val="Refdenotaalpie"/>
          <w:rFonts w:ascii="Verdana" w:hAnsi="Verdana" w:cs="Arial"/>
        </w:rPr>
        <w:footnoteReference w:id="18"/>
      </w:r>
      <w:r w:rsidRPr="00B406D7">
        <w:rPr>
          <w:rFonts w:ascii="Verdana" w:hAnsi="Verdana" w:cs="Arial"/>
        </w:rPr>
        <w:t xml:space="preserve">. </w:t>
      </w:r>
    </w:p>
    <w:p w14:paraId="742AB249" w14:textId="77777777" w:rsidR="004D28C3" w:rsidRPr="00B406D7" w:rsidRDefault="004D28C3" w:rsidP="004D28C3">
      <w:pPr>
        <w:snapToGrid w:val="0"/>
        <w:spacing w:after="0" w:line="240" w:lineRule="auto"/>
        <w:jc w:val="both"/>
        <w:rPr>
          <w:rFonts w:ascii="Verdana" w:hAnsi="Verdana" w:cs="Arial"/>
        </w:rPr>
      </w:pPr>
    </w:p>
    <w:p w14:paraId="6E2A44B0" w14:textId="7113341E" w:rsidR="003740BB" w:rsidRPr="00B406D7" w:rsidRDefault="003740BB" w:rsidP="004D28C3">
      <w:pPr>
        <w:snapToGrid w:val="0"/>
        <w:spacing w:after="0" w:line="240" w:lineRule="auto"/>
        <w:jc w:val="both"/>
        <w:rPr>
          <w:rFonts w:ascii="Verdana" w:hAnsi="Verdana" w:cs="Arial"/>
          <w:lang w:val="es-ES_tradnl"/>
        </w:rPr>
      </w:pPr>
      <w:r w:rsidRPr="00B406D7">
        <w:rPr>
          <w:rFonts w:ascii="Verdana" w:hAnsi="Verdana" w:cs="Arial"/>
          <w:lang w:val="es-ES_tradnl"/>
        </w:rPr>
        <w:t xml:space="preserve">En efecto, en la Sentencia C-1005 de 2008, la Corte Constitucional señaló que </w:t>
      </w:r>
      <w:r w:rsidR="00217485" w:rsidRPr="00B406D7">
        <w:rPr>
          <w:rFonts w:ascii="Verdana" w:hAnsi="Verdana" w:cs="Arial"/>
          <w:lang w:val="es-ES_tradnl"/>
        </w:rPr>
        <w:t>“</w:t>
      </w:r>
      <w:r w:rsidRPr="00B406D7">
        <w:rPr>
          <w:rFonts w:ascii="Verdana" w:hAnsi="Verdana" w:cs="Arial"/>
          <w:iCs/>
          <w:lang w:val="es-ES_tradnl"/>
        </w:rPr>
        <w:t>la justificación de esta asignación de regulación gradual consiste en que precisamente son los organismos administrativos los depositarios de información relacionada de manera directa e inmediata con el funcionamiento práctico de las herramientas de creación legislativa</w:t>
      </w:r>
      <w:r w:rsidR="00217485" w:rsidRPr="00B406D7">
        <w:rPr>
          <w:rFonts w:ascii="Verdana" w:hAnsi="Verdana" w:cs="Arial"/>
          <w:lang w:val="es-ES_tradnl"/>
        </w:rPr>
        <w:t>”</w:t>
      </w:r>
      <w:r w:rsidRPr="00B406D7">
        <w:rPr>
          <w:rFonts w:ascii="Verdana" w:hAnsi="Verdana" w:cs="Arial"/>
          <w:lang w:val="es-ES_tradnl"/>
        </w:rPr>
        <w:t xml:space="preserve">, lo que trae como consecuencia que sean estos organismos quienes deban ser los encargados de aquello que la Corte ha denominado como </w:t>
      </w:r>
      <w:r w:rsidR="00217485" w:rsidRPr="00B406D7">
        <w:rPr>
          <w:rFonts w:ascii="Verdana" w:hAnsi="Verdana" w:cs="Arial"/>
          <w:lang w:val="es-ES_tradnl"/>
        </w:rPr>
        <w:t>“</w:t>
      </w:r>
      <w:r w:rsidRPr="00B406D7">
        <w:rPr>
          <w:rFonts w:ascii="Verdana" w:hAnsi="Verdana" w:cs="Arial"/>
          <w:lang w:val="es-ES_tradnl"/>
        </w:rPr>
        <w:t>micro regulación de la ley</w:t>
      </w:r>
      <w:r w:rsidR="00217485" w:rsidRPr="00B406D7">
        <w:rPr>
          <w:rFonts w:ascii="Verdana" w:hAnsi="Verdana" w:cs="Arial"/>
          <w:lang w:val="es-ES_tradnl"/>
        </w:rPr>
        <w:t>”</w:t>
      </w:r>
      <w:r w:rsidRPr="00B406D7">
        <w:rPr>
          <w:rFonts w:ascii="Verdana" w:hAnsi="Verdana" w:cs="Arial"/>
          <w:lang w:val="es-ES_tradnl"/>
        </w:rPr>
        <w:t xml:space="preserve">. Además, en la Sentencia C-917 de 2002, señaló que </w:t>
      </w:r>
      <w:r w:rsidR="00217485" w:rsidRPr="00B406D7">
        <w:rPr>
          <w:rFonts w:ascii="Verdana" w:hAnsi="Verdana" w:cs="Arial"/>
          <w:lang w:val="es-ES_tradnl"/>
        </w:rPr>
        <w:t>“</w:t>
      </w:r>
      <w:r w:rsidRPr="00B406D7">
        <w:rPr>
          <w:rFonts w:ascii="Verdana" w:hAnsi="Verdana" w:cs="Arial"/>
          <w:lang w:val="es-ES_tradnl"/>
        </w:rPr>
        <w:t>la imposibilidad de previsión total por parte del órgano legislativo es –para muchos– suficiente sustento de la necesidad de que sea una entidad técnica la que produzca el reglamento correspondiente</w:t>
      </w:r>
      <w:r w:rsidR="00217485" w:rsidRPr="00B406D7">
        <w:rPr>
          <w:rFonts w:ascii="Verdana" w:hAnsi="Verdana" w:cs="Arial"/>
          <w:lang w:val="es-ES_tradnl"/>
        </w:rPr>
        <w:t>”</w:t>
      </w:r>
      <w:r w:rsidRPr="00B406D7">
        <w:rPr>
          <w:rFonts w:ascii="Verdana" w:hAnsi="Verdana" w:cs="Arial"/>
          <w:lang w:val="es-ES_tradnl"/>
        </w:rPr>
        <w:t>.</w:t>
      </w:r>
    </w:p>
    <w:p w14:paraId="070ED81E" w14:textId="77777777" w:rsidR="004D28C3" w:rsidRPr="00B406D7" w:rsidRDefault="004D28C3" w:rsidP="004D28C3">
      <w:pPr>
        <w:snapToGrid w:val="0"/>
        <w:spacing w:after="0" w:line="240" w:lineRule="auto"/>
        <w:jc w:val="both"/>
        <w:rPr>
          <w:rFonts w:ascii="Verdana" w:hAnsi="Verdana" w:cs="Arial"/>
          <w:lang w:val="es-ES_tradnl"/>
        </w:rPr>
      </w:pPr>
    </w:p>
    <w:p w14:paraId="669A0946" w14:textId="77777777" w:rsidR="003740BB" w:rsidRPr="00B406D7" w:rsidRDefault="003740BB" w:rsidP="00C37D1E">
      <w:pPr>
        <w:snapToGrid w:val="0"/>
        <w:spacing w:after="0" w:line="240" w:lineRule="auto"/>
        <w:jc w:val="both"/>
        <w:rPr>
          <w:rFonts w:ascii="Verdana" w:hAnsi="Verdana" w:cs="Arial"/>
        </w:rPr>
      </w:pPr>
      <w:r w:rsidRPr="00B406D7">
        <w:rPr>
          <w:rFonts w:ascii="Verdana" w:hAnsi="Verdana" w:cs="Arial"/>
        </w:rPr>
        <w:t>En este sentido, atendiendo lo previsto en el artículo 1 la Ley 2022 de 2020, debe señalarse que la Agencia Nacional de Contratación Pública – Colombia Compra Eficiente es una Unidad Administrativa Especial, descentralizada de la Rama Ejecutiva del orden nacional, con personería jurídica, patrimonio propio y autonomía administrativa y financiera, adscrita al Departamento Nacional de Planeación</w:t>
      </w:r>
      <w:r w:rsidRPr="00B406D7">
        <w:rPr>
          <w:rStyle w:val="Refdenotaalpie"/>
          <w:rFonts w:ascii="Verdana" w:eastAsia="Times New Roman" w:hAnsi="Verdana" w:cs="Arial"/>
          <w:color w:val="000000"/>
          <w:lang w:eastAsia="es-CO"/>
        </w:rPr>
        <w:footnoteReference w:id="19"/>
      </w:r>
      <w:r w:rsidRPr="00B406D7">
        <w:rPr>
          <w:rFonts w:ascii="Verdana" w:hAnsi="Verdana" w:cs="Arial"/>
        </w:rPr>
        <w:t xml:space="preserve">. Por ello, esta entidad se erige como ente rector en materia de contratación pública en virtud de las funciones </w:t>
      </w:r>
      <w:r w:rsidRPr="00B406D7">
        <w:rPr>
          <w:rFonts w:ascii="Verdana" w:hAnsi="Verdana" w:cs="Arial"/>
        </w:rPr>
        <w:lastRenderedPageBreak/>
        <w:t xml:space="preserve">atribuidas por el ordenamiento jurídico, en particular en el numeral 2 del artículo 3 del Decreto Ley 4170 de 2011, en el que se le otorgó la función de: </w:t>
      </w:r>
    </w:p>
    <w:p w14:paraId="0049F5B6" w14:textId="77777777" w:rsidR="00C37D1E" w:rsidRPr="00B406D7" w:rsidRDefault="00C37D1E" w:rsidP="00C37D1E">
      <w:pPr>
        <w:snapToGrid w:val="0"/>
        <w:spacing w:after="0" w:line="240" w:lineRule="auto"/>
        <w:jc w:val="both"/>
        <w:rPr>
          <w:rFonts w:ascii="Verdana" w:hAnsi="Verdana" w:cs="Arial"/>
        </w:rPr>
      </w:pPr>
    </w:p>
    <w:p w14:paraId="3E62ADA7" w14:textId="77BC8861" w:rsidR="003740BB" w:rsidRPr="00B406D7" w:rsidRDefault="004D28C3" w:rsidP="00C37D1E">
      <w:pPr>
        <w:pStyle w:val="NormalWeb"/>
        <w:snapToGrid w:val="0"/>
        <w:spacing w:before="0" w:beforeAutospacing="0" w:after="0" w:afterAutospacing="0"/>
        <w:ind w:left="709" w:right="709"/>
        <w:jc w:val="both"/>
        <w:rPr>
          <w:rFonts w:ascii="Verdana" w:hAnsi="Verdana" w:cs="Arial"/>
          <w:color w:val="000000" w:themeColor="text1"/>
          <w:sz w:val="22"/>
          <w:szCs w:val="22"/>
          <w:lang w:val="es-ES"/>
        </w:rPr>
      </w:pPr>
      <w:r w:rsidRPr="00B406D7">
        <w:rPr>
          <w:rFonts w:ascii="Verdana" w:hAnsi="Verdana" w:cs="Arial"/>
          <w:color w:val="000000" w:themeColor="text1"/>
          <w:sz w:val="22"/>
          <w:szCs w:val="22"/>
          <w:u w:val="single"/>
          <w:lang w:val="es-ES"/>
        </w:rPr>
        <w:t>“</w:t>
      </w:r>
      <w:r w:rsidR="003740BB" w:rsidRPr="00B406D7">
        <w:rPr>
          <w:rFonts w:ascii="Verdana" w:hAnsi="Verdana" w:cs="Arial"/>
          <w:color w:val="000000" w:themeColor="text1"/>
          <w:sz w:val="22"/>
          <w:szCs w:val="22"/>
          <w:u w:val="single"/>
          <w:lang w:val="es-ES"/>
        </w:rPr>
        <w:t>Desarrollar,</w:t>
      </w:r>
      <w:r w:rsidR="003740BB" w:rsidRPr="00B406D7">
        <w:rPr>
          <w:rFonts w:ascii="Verdana" w:hAnsi="Verdana" w:cs="Arial"/>
          <w:color w:val="000000" w:themeColor="text1"/>
          <w:sz w:val="22"/>
          <w:szCs w:val="22"/>
          <w:lang w:val="es-ES"/>
        </w:rPr>
        <w:t xml:space="preserve"> </w:t>
      </w:r>
      <w:r w:rsidR="003740BB" w:rsidRPr="00B406D7">
        <w:rPr>
          <w:rFonts w:ascii="Verdana" w:hAnsi="Verdana" w:cs="Arial"/>
          <w:color w:val="000000" w:themeColor="text1"/>
          <w:sz w:val="22"/>
          <w:szCs w:val="22"/>
          <w:u w:val="single"/>
          <w:lang w:val="es-ES"/>
        </w:rPr>
        <w:t>implementar y difundir</w:t>
      </w:r>
      <w:r w:rsidR="003740BB" w:rsidRPr="00B406D7">
        <w:rPr>
          <w:rFonts w:ascii="Verdana" w:hAnsi="Verdana" w:cs="Arial"/>
          <w:color w:val="000000" w:themeColor="text1"/>
          <w:sz w:val="22"/>
          <w:szCs w:val="22"/>
          <w:lang w:val="es-ES"/>
        </w:rPr>
        <w:t xml:space="preserve"> las políticas públicas, planes, programas, </w:t>
      </w:r>
      <w:r w:rsidR="003740BB" w:rsidRPr="00B406D7">
        <w:rPr>
          <w:rFonts w:ascii="Verdana" w:hAnsi="Verdana" w:cs="Arial"/>
          <w:color w:val="000000" w:themeColor="text1"/>
          <w:sz w:val="22"/>
          <w:szCs w:val="22"/>
          <w:u w:val="single"/>
          <w:lang w:val="es-ES"/>
        </w:rPr>
        <w:t>normas, instrumentos y herramientas</w:t>
      </w:r>
      <w:r w:rsidR="003740BB" w:rsidRPr="00B406D7">
        <w:rPr>
          <w:rFonts w:ascii="Verdana" w:hAnsi="Verdana" w:cs="Arial"/>
          <w:color w:val="000000" w:themeColor="text1"/>
          <w:sz w:val="22"/>
          <w:szCs w:val="22"/>
          <w:lang w:val="es-ES"/>
        </w:rPr>
        <w:t xml:space="preserve"> que faciliten las compras y contratación pública del Estado y promuevan las mejores prácticas, la eficiencia, transparencia y competitividad </w:t>
      </w:r>
      <w:proofErr w:type="gramStart"/>
      <w:r w:rsidR="003740BB" w:rsidRPr="00B406D7">
        <w:rPr>
          <w:rFonts w:ascii="Verdana" w:hAnsi="Verdana" w:cs="Arial"/>
          <w:color w:val="000000" w:themeColor="text1"/>
          <w:sz w:val="22"/>
          <w:szCs w:val="22"/>
          <w:lang w:val="es-ES"/>
        </w:rPr>
        <w:t>del mismo</w:t>
      </w:r>
      <w:proofErr w:type="gramEnd"/>
      <w:r w:rsidR="003740BB" w:rsidRPr="00B406D7">
        <w:rPr>
          <w:rFonts w:ascii="Verdana" w:hAnsi="Verdana" w:cs="Arial"/>
          <w:color w:val="000000" w:themeColor="text1"/>
          <w:sz w:val="22"/>
          <w:szCs w:val="22"/>
          <w:lang w:val="es-ES"/>
        </w:rPr>
        <w:t>, a fin de que se cumplan los principios y procesos generales que deben gobernar la actividad contractual de las entidades públicas</w:t>
      </w:r>
      <w:r w:rsidRPr="00B406D7">
        <w:rPr>
          <w:rFonts w:ascii="Verdana" w:hAnsi="Verdana" w:cs="Arial"/>
          <w:color w:val="000000" w:themeColor="text1"/>
          <w:sz w:val="22"/>
          <w:szCs w:val="22"/>
          <w:lang w:val="es-ES"/>
        </w:rPr>
        <w:t>”</w:t>
      </w:r>
      <w:r w:rsidR="003740BB" w:rsidRPr="00B406D7">
        <w:rPr>
          <w:rFonts w:ascii="Verdana" w:hAnsi="Verdana" w:cs="Arial"/>
          <w:color w:val="000000" w:themeColor="text1"/>
          <w:sz w:val="22"/>
          <w:szCs w:val="22"/>
          <w:lang w:val="es-ES"/>
        </w:rPr>
        <w:t xml:space="preserve"> (Subrayado fuera del texto). </w:t>
      </w:r>
    </w:p>
    <w:p w14:paraId="67F99B5B" w14:textId="77777777" w:rsidR="00C37D1E" w:rsidRPr="00B406D7" w:rsidRDefault="00C37D1E" w:rsidP="00C37D1E">
      <w:pPr>
        <w:pStyle w:val="NormalWeb"/>
        <w:snapToGrid w:val="0"/>
        <w:spacing w:before="0" w:beforeAutospacing="0" w:after="0" w:afterAutospacing="0"/>
        <w:ind w:left="709" w:right="709"/>
        <w:jc w:val="both"/>
        <w:rPr>
          <w:rFonts w:ascii="Verdana" w:hAnsi="Verdana" w:cs="Arial"/>
          <w:color w:val="000000"/>
          <w:sz w:val="22"/>
          <w:szCs w:val="22"/>
          <w:lang w:val="es-ES"/>
        </w:rPr>
      </w:pPr>
    </w:p>
    <w:p w14:paraId="6AACB6BB" w14:textId="61B654AB" w:rsidR="003740BB" w:rsidRPr="00B406D7" w:rsidRDefault="003740BB" w:rsidP="00C37D1E">
      <w:pPr>
        <w:pStyle w:val="NormalWeb"/>
        <w:snapToGrid w:val="0"/>
        <w:spacing w:before="0" w:beforeAutospacing="0" w:after="0" w:afterAutospacing="0"/>
        <w:jc w:val="both"/>
        <w:rPr>
          <w:rFonts w:ascii="Verdana" w:hAnsi="Verdana" w:cs="Arial"/>
          <w:color w:val="000000" w:themeColor="text1"/>
          <w:sz w:val="22"/>
          <w:szCs w:val="22"/>
          <w:lang w:val="es-ES"/>
        </w:rPr>
      </w:pPr>
      <w:r w:rsidRPr="00B406D7">
        <w:rPr>
          <w:rFonts w:ascii="Verdana" w:hAnsi="Verdana" w:cs="Arial"/>
          <w:color w:val="000000"/>
          <w:sz w:val="22"/>
          <w:szCs w:val="22"/>
          <w:lang w:val="es-ES"/>
        </w:rPr>
        <w:t xml:space="preserve">Así mismo, el Decreto Ley le otorgó a la Subdirección de Gestión Contractual la función de: </w:t>
      </w:r>
      <w:r w:rsidR="004D28C3" w:rsidRPr="00B406D7">
        <w:rPr>
          <w:rFonts w:ascii="Verdana" w:hAnsi="Verdana" w:cs="Arial"/>
          <w:color w:val="000000"/>
          <w:sz w:val="22"/>
          <w:szCs w:val="22"/>
          <w:lang w:val="es-ES"/>
        </w:rPr>
        <w:t>“</w:t>
      </w:r>
      <w:r w:rsidRPr="00B406D7">
        <w:rPr>
          <w:rFonts w:ascii="Verdana" w:hAnsi="Verdana" w:cs="Arial"/>
          <w:color w:val="000000"/>
          <w:sz w:val="22"/>
          <w:szCs w:val="22"/>
          <w:lang w:val="es-ES"/>
        </w:rPr>
        <w:t>Desarrollar e implementar estándares y documentos tipo para las diferentes etapas de la gestión contractual pública</w:t>
      </w:r>
      <w:r w:rsidR="004D28C3" w:rsidRPr="00B406D7">
        <w:rPr>
          <w:rFonts w:ascii="Verdana" w:hAnsi="Verdana" w:cs="Arial"/>
          <w:color w:val="000000"/>
          <w:sz w:val="22"/>
          <w:szCs w:val="22"/>
          <w:lang w:val="es-ES"/>
        </w:rPr>
        <w:t>”</w:t>
      </w:r>
      <w:r w:rsidRPr="00B406D7">
        <w:rPr>
          <w:rStyle w:val="Refdenotaalpie"/>
          <w:rFonts w:ascii="Verdana" w:hAnsi="Verdana" w:cs="Arial"/>
          <w:i/>
          <w:iCs/>
          <w:color w:val="000000"/>
          <w:sz w:val="22"/>
          <w:szCs w:val="22"/>
          <w:lang w:val="es-ES"/>
        </w:rPr>
        <w:footnoteReference w:id="20"/>
      </w:r>
      <w:r w:rsidRPr="00B406D7">
        <w:rPr>
          <w:rFonts w:ascii="Verdana" w:hAnsi="Verdana" w:cs="Arial"/>
          <w:i/>
          <w:iCs/>
          <w:color w:val="000000"/>
          <w:sz w:val="22"/>
          <w:szCs w:val="22"/>
          <w:lang w:val="es-ES"/>
        </w:rPr>
        <w:t>.</w:t>
      </w:r>
      <w:r w:rsidRPr="00B406D7">
        <w:rPr>
          <w:rFonts w:ascii="Verdana" w:hAnsi="Verdana" w:cs="Arial"/>
          <w:color w:val="000000" w:themeColor="text1"/>
          <w:sz w:val="22"/>
          <w:szCs w:val="22"/>
          <w:lang w:val="es-ES"/>
        </w:rPr>
        <w:t>De conformidad con lo anterior, la Agencia Nacional de Contratación Pública – Colombia Compra Eficiente es un ente rector, técnico y especializado en materia de contratación pública. De ahí que el Consejo de Estado le haya reconocido potestad regulatoria, en los siguientes términos:</w:t>
      </w:r>
    </w:p>
    <w:p w14:paraId="764BD26D" w14:textId="77777777" w:rsidR="00C37D1E" w:rsidRPr="00B406D7" w:rsidRDefault="00C37D1E" w:rsidP="00C37D1E">
      <w:pPr>
        <w:pStyle w:val="NormalWeb"/>
        <w:snapToGrid w:val="0"/>
        <w:spacing w:before="0" w:beforeAutospacing="0" w:after="0" w:afterAutospacing="0"/>
        <w:jc w:val="both"/>
        <w:rPr>
          <w:rFonts w:ascii="Verdana" w:hAnsi="Verdana" w:cs="Arial"/>
          <w:color w:val="000000"/>
          <w:sz w:val="22"/>
          <w:szCs w:val="22"/>
        </w:rPr>
      </w:pPr>
    </w:p>
    <w:p w14:paraId="7EEB26AE" w14:textId="27CC6556" w:rsidR="003740BB" w:rsidRPr="00B406D7" w:rsidRDefault="00CB0047" w:rsidP="00C37D1E">
      <w:pPr>
        <w:snapToGrid w:val="0"/>
        <w:spacing w:after="0" w:line="240" w:lineRule="auto"/>
        <w:ind w:left="709" w:right="709"/>
        <w:jc w:val="both"/>
        <w:rPr>
          <w:rFonts w:ascii="Verdana" w:eastAsia="Times New Roman" w:hAnsi="Verdana" w:cs="Arial"/>
          <w:i/>
          <w:iCs/>
          <w:lang w:eastAsia="es-ES"/>
        </w:rPr>
      </w:pPr>
      <w:r w:rsidRPr="00B406D7">
        <w:rPr>
          <w:rFonts w:ascii="Verdana" w:eastAsia="Times New Roman" w:hAnsi="Verdana" w:cs="Arial"/>
          <w:lang w:eastAsia="es-ES"/>
        </w:rPr>
        <w:t>“</w:t>
      </w:r>
      <w:r w:rsidR="003740BB" w:rsidRPr="00B406D7">
        <w:rPr>
          <w:rFonts w:ascii="Verdana" w:eastAsia="Times New Roman" w:hAnsi="Verdana" w:cs="Arial"/>
          <w:lang w:eastAsia="es-ES"/>
        </w:rPr>
        <w:t xml:space="preserve">Se cuenta con una base jurídica mínima que apoya la competencia de [Colombia Compra Eficiente] para [la expedición de la Circular] pues se sabe que esa Agencia […] se ubica dentro del sector descentralizado del orden nacional y cuenta dentro de su ámbito funcional con competencias atinentes a la materia de la contratación estatal, esto es, a la actividad administrativa vinculada a la provisión de bienes y/o servicios por cuenta del Estado […] y ejerce una competencia de orientación y coordinación toda vez que tiene a su cargo la formulación de políticas públicas […] y, concretamente, se le ha atribuido la competencia de </w:t>
      </w:r>
      <w:r w:rsidRPr="00B406D7">
        <w:rPr>
          <w:rFonts w:ascii="Verdana" w:eastAsia="Times New Roman" w:hAnsi="Verdana" w:cs="Arial"/>
          <w:lang w:eastAsia="es-ES"/>
        </w:rPr>
        <w:t>“</w:t>
      </w:r>
      <w:r w:rsidR="003740BB" w:rsidRPr="00B406D7">
        <w:rPr>
          <w:rFonts w:ascii="Verdana" w:eastAsia="Times New Roman" w:hAnsi="Verdana" w:cs="Arial"/>
          <w:lang w:eastAsia="es-ES"/>
        </w:rPr>
        <w:t>difundir las normas, reglas, procedimientos, medios tecnológicos y mejores prácticas para las compras y la contratación pública […]</w:t>
      </w:r>
      <w:r w:rsidRPr="00B406D7">
        <w:rPr>
          <w:rFonts w:ascii="Verdana" w:eastAsia="Times New Roman" w:hAnsi="Verdana" w:cs="Arial"/>
          <w:lang w:eastAsia="es-ES"/>
        </w:rPr>
        <w:t>”</w:t>
      </w:r>
      <w:r w:rsidR="003740BB" w:rsidRPr="00B406D7">
        <w:rPr>
          <w:rFonts w:ascii="Verdana" w:eastAsia="Times New Roman" w:hAnsi="Verdana" w:cs="Arial"/>
          <w:lang w:eastAsia="es-ES"/>
        </w:rPr>
        <w:t xml:space="preserve"> potestad reguladora que, en todo caso, debe ejercerse conforme a la Ley y ajustada a la potestad reglamentaria del Gobierno Nacional</w:t>
      </w:r>
      <w:r w:rsidRPr="00B406D7">
        <w:rPr>
          <w:rFonts w:ascii="Verdana" w:eastAsia="Times New Roman" w:hAnsi="Verdana" w:cs="Arial"/>
          <w:lang w:eastAsia="es-ES"/>
        </w:rPr>
        <w:t>”</w:t>
      </w:r>
      <w:r w:rsidR="003740BB" w:rsidRPr="00B406D7">
        <w:rPr>
          <w:rStyle w:val="Refdenotaalpie"/>
          <w:rFonts w:ascii="Verdana" w:hAnsi="Verdana" w:cs="Arial"/>
          <w:i/>
          <w:iCs/>
          <w:color w:val="000000"/>
        </w:rPr>
        <w:footnoteReference w:id="21"/>
      </w:r>
      <w:r w:rsidR="003740BB" w:rsidRPr="00B406D7">
        <w:rPr>
          <w:rFonts w:ascii="Verdana" w:eastAsia="Times New Roman" w:hAnsi="Verdana" w:cs="Arial"/>
          <w:i/>
          <w:iCs/>
          <w:lang w:eastAsia="es-ES"/>
        </w:rPr>
        <w:t xml:space="preserve">. </w:t>
      </w:r>
    </w:p>
    <w:p w14:paraId="5503FB42" w14:textId="77777777" w:rsidR="00C37D1E" w:rsidRPr="00B406D7" w:rsidRDefault="00C37D1E" w:rsidP="00C37D1E">
      <w:pPr>
        <w:snapToGrid w:val="0"/>
        <w:spacing w:after="0" w:line="240" w:lineRule="auto"/>
        <w:ind w:left="709" w:right="709"/>
        <w:jc w:val="both"/>
        <w:rPr>
          <w:rFonts w:ascii="Verdana" w:eastAsia="Times New Roman" w:hAnsi="Verdana" w:cs="Arial"/>
          <w:i/>
          <w:lang w:eastAsia="es-ES"/>
        </w:rPr>
      </w:pPr>
    </w:p>
    <w:p w14:paraId="1E37DFFE" w14:textId="77777777" w:rsidR="003740BB" w:rsidRPr="00B406D7" w:rsidRDefault="003740BB" w:rsidP="00C37D1E">
      <w:pPr>
        <w:snapToGrid w:val="0"/>
        <w:spacing w:after="0" w:line="240" w:lineRule="auto"/>
        <w:jc w:val="both"/>
        <w:rPr>
          <w:rFonts w:ascii="Verdana" w:eastAsia="Times New Roman" w:hAnsi="Verdana" w:cs="Arial"/>
          <w:lang w:eastAsia="es-ES"/>
        </w:rPr>
      </w:pPr>
      <w:r w:rsidRPr="00B406D7">
        <w:rPr>
          <w:rFonts w:ascii="Verdana" w:eastAsia="Times New Roman" w:hAnsi="Verdana" w:cs="Arial"/>
          <w:lang w:eastAsia="es-ES"/>
        </w:rPr>
        <w:t xml:space="preserve">Lo anterior es reiterado por el Consejo de Estado en otra providencia en los siguientes términos: </w:t>
      </w:r>
    </w:p>
    <w:p w14:paraId="05F3D17D" w14:textId="77777777" w:rsidR="00C37D1E" w:rsidRPr="00B406D7" w:rsidRDefault="00C37D1E" w:rsidP="00C37D1E">
      <w:pPr>
        <w:snapToGrid w:val="0"/>
        <w:spacing w:after="0" w:line="240" w:lineRule="auto"/>
        <w:jc w:val="both"/>
        <w:rPr>
          <w:rFonts w:ascii="Verdana" w:eastAsia="Times New Roman" w:hAnsi="Verdana" w:cs="Arial"/>
          <w:lang w:eastAsia="es-ES"/>
        </w:rPr>
      </w:pPr>
    </w:p>
    <w:p w14:paraId="6098D3A3" w14:textId="394C69BF" w:rsidR="003740BB" w:rsidRPr="00B406D7" w:rsidRDefault="00CB0047" w:rsidP="00C37D1E">
      <w:pPr>
        <w:snapToGrid w:val="0"/>
        <w:spacing w:after="0" w:line="240" w:lineRule="auto"/>
        <w:ind w:left="709" w:right="709"/>
        <w:jc w:val="both"/>
        <w:rPr>
          <w:rFonts w:ascii="Verdana" w:eastAsia="Times New Roman" w:hAnsi="Verdana" w:cs="Arial"/>
          <w:lang w:eastAsia="es-ES"/>
        </w:rPr>
      </w:pPr>
      <w:r w:rsidRPr="00B406D7">
        <w:rPr>
          <w:rFonts w:ascii="Verdana" w:eastAsia="Times New Roman" w:hAnsi="Verdana" w:cs="Arial"/>
          <w:lang w:eastAsia="es-ES"/>
        </w:rPr>
        <w:t>“</w:t>
      </w:r>
      <w:r w:rsidR="003740BB" w:rsidRPr="00B406D7">
        <w:rPr>
          <w:rFonts w:ascii="Verdana" w:eastAsia="Times New Roman" w:hAnsi="Verdana" w:cs="Arial"/>
          <w:lang w:eastAsia="es-ES"/>
        </w:rPr>
        <w:t xml:space="preserve">Dígase que ese poder de regulación normativa en cabeza de CCE se ejerce </w:t>
      </w:r>
      <w:proofErr w:type="spellStart"/>
      <w:r w:rsidR="003740BB" w:rsidRPr="00B406D7">
        <w:rPr>
          <w:rFonts w:ascii="Verdana" w:eastAsia="Times New Roman" w:hAnsi="Verdana" w:cs="Arial"/>
          <w:i/>
          <w:iCs/>
          <w:lang w:eastAsia="es-ES"/>
        </w:rPr>
        <w:t>secundum</w:t>
      </w:r>
      <w:proofErr w:type="spellEnd"/>
      <w:r w:rsidR="003740BB" w:rsidRPr="00B406D7">
        <w:rPr>
          <w:rFonts w:ascii="Verdana" w:eastAsia="Times New Roman" w:hAnsi="Verdana" w:cs="Arial"/>
          <w:i/>
          <w:iCs/>
          <w:lang w:eastAsia="es-ES"/>
        </w:rPr>
        <w:t xml:space="preserve"> </w:t>
      </w:r>
      <w:proofErr w:type="spellStart"/>
      <w:r w:rsidR="003740BB" w:rsidRPr="00B406D7">
        <w:rPr>
          <w:rFonts w:ascii="Verdana" w:eastAsia="Times New Roman" w:hAnsi="Verdana" w:cs="Arial"/>
          <w:i/>
          <w:iCs/>
          <w:lang w:eastAsia="es-ES"/>
        </w:rPr>
        <w:t>legem</w:t>
      </w:r>
      <w:proofErr w:type="spellEnd"/>
      <w:r w:rsidR="003740BB" w:rsidRPr="00B406D7">
        <w:rPr>
          <w:rFonts w:ascii="Verdana" w:eastAsia="Times New Roman" w:hAnsi="Verdana" w:cs="Arial"/>
          <w:lang w:eastAsia="es-ES"/>
        </w:rPr>
        <w:t xml:space="preserve"> como también subordinado a la potestad reglamentaria del Gobierno Nacional, de suerte que no rivaliza con ésta o aquella, sino que constituye, en puridad, expresión del ejercicio de autoridad </w:t>
      </w:r>
      <w:r w:rsidR="003740BB" w:rsidRPr="00B406D7">
        <w:rPr>
          <w:rFonts w:ascii="Verdana" w:eastAsia="Times New Roman" w:hAnsi="Verdana" w:cs="Arial"/>
          <w:lang w:eastAsia="es-ES"/>
        </w:rPr>
        <w:lastRenderedPageBreak/>
        <w:t>administrativa bajo habilitación legal expresa sujeta, entre otras cuestiones, a la concreción de aquellos principios y valores que subyacen a la función administrativa, de una parte, y los propios de la Constitución Económica, de otro tanto, como recién ha sido reiterado por esta Sección en asunto de similar naturaleza al aquí tratado. Con otras palabras, la Sala tiene averiguado que el poder de regulación otorgado a Colombia Compra Eficiente no es ejercicio de potestad reglamentaria constitucional, en los términos expuestos</w:t>
      </w:r>
      <w:r w:rsidRPr="00B406D7">
        <w:rPr>
          <w:rFonts w:ascii="Verdana" w:eastAsia="Times New Roman" w:hAnsi="Verdana" w:cs="Arial"/>
          <w:lang w:eastAsia="es-ES"/>
        </w:rPr>
        <w:t>”</w:t>
      </w:r>
      <w:r w:rsidR="003740BB" w:rsidRPr="00B406D7">
        <w:rPr>
          <w:rFonts w:ascii="Verdana" w:eastAsia="Times New Roman" w:hAnsi="Verdana" w:cs="Arial"/>
          <w:i/>
          <w:iCs/>
          <w:vertAlign w:val="superscript"/>
          <w:lang w:eastAsia="es-ES"/>
        </w:rPr>
        <w:footnoteReference w:id="22"/>
      </w:r>
      <w:r w:rsidR="003740BB" w:rsidRPr="00B406D7">
        <w:rPr>
          <w:rFonts w:ascii="Verdana" w:eastAsia="Times New Roman" w:hAnsi="Verdana" w:cs="Arial"/>
          <w:lang w:eastAsia="es-ES"/>
        </w:rPr>
        <w:t>.</w:t>
      </w:r>
    </w:p>
    <w:p w14:paraId="3C92E62C" w14:textId="77777777" w:rsidR="00C37D1E" w:rsidRPr="00B406D7" w:rsidRDefault="00C37D1E" w:rsidP="00C37D1E">
      <w:pPr>
        <w:snapToGrid w:val="0"/>
        <w:spacing w:after="0" w:line="240" w:lineRule="auto"/>
        <w:ind w:left="709" w:right="709"/>
        <w:jc w:val="both"/>
        <w:rPr>
          <w:rFonts w:ascii="Verdana" w:eastAsia="Times New Roman" w:hAnsi="Verdana" w:cs="Arial"/>
          <w:i/>
          <w:lang w:eastAsia="es-ES"/>
        </w:rPr>
      </w:pPr>
    </w:p>
    <w:p w14:paraId="61FBEF2D" w14:textId="0D03FCEB" w:rsidR="003740BB" w:rsidRPr="00B406D7" w:rsidRDefault="003740BB" w:rsidP="00C37D1E">
      <w:pPr>
        <w:pStyle w:val="Encabezado"/>
        <w:snapToGrid w:val="0"/>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 xml:space="preserve">En la misma sentencia, el Consejo de Estado señaló la existencia de límites en el ejercicio de facultad de regulación de las autoridades administrativas, las cuales se encaminan a concretar aspectos residuales y complementarios de la legislación general ajustada, sujeta en todo caso, a lo que dispongan los órdenes normativos de más alto rango, es decir, la Constitución y la ley. Esto en la medida que el ejercicio de esta facultad de regulación </w:t>
      </w:r>
      <w:r w:rsidR="00CB0047" w:rsidRPr="00B406D7">
        <w:rPr>
          <w:rFonts w:ascii="Verdana" w:eastAsia="Times New Roman" w:hAnsi="Verdana" w:cs="Arial"/>
          <w:sz w:val="22"/>
          <w:szCs w:val="22"/>
          <w:lang w:eastAsia="es-ES"/>
        </w:rPr>
        <w:t>“</w:t>
      </w:r>
      <w:r w:rsidRPr="00B406D7">
        <w:rPr>
          <w:rFonts w:ascii="Verdana" w:eastAsia="Times New Roman" w:hAnsi="Verdana" w:cs="Arial"/>
          <w:sz w:val="22"/>
          <w:szCs w:val="22"/>
          <w:lang w:eastAsia="es-ES"/>
        </w:rPr>
        <w:t>en ningún caso implica el reconocimiento de una potestad autónoma y desligada de cualquier límite</w:t>
      </w:r>
      <w:r w:rsidR="00CB0047" w:rsidRPr="00B406D7">
        <w:rPr>
          <w:rFonts w:ascii="Verdana" w:eastAsia="Times New Roman" w:hAnsi="Verdana" w:cs="Arial"/>
          <w:sz w:val="22"/>
          <w:szCs w:val="22"/>
          <w:lang w:eastAsia="es-ES"/>
        </w:rPr>
        <w:t>”</w:t>
      </w:r>
      <w:r w:rsidRPr="00B406D7">
        <w:rPr>
          <w:rFonts w:ascii="Verdana" w:hAnsi="Verdana" w:cs="Arial"/>
          <w:sz w:val="22"/>
          <w:szCs w:val="22"/>
          <w:vertAlign w:val="superscript"/>
          <w:lang w:eastAsia="es-ES"/>
        </w:rPr>
        <w:footnoteReference w:id="23"/>
      </w:r>
      <w:r w:rsidRPr="00B406D7">
        <w:rPr>
          <w:rFonts w:ascii="Verdana" w:eastAsia="Times New Roman" w:hAnsi="Verdana" w:cs="Arial"/>
          <w:sz w:val="22"/>
          <w:szCs w:val="22"/>
          <w:lang w:eastAsia="es-ES"/>
        </w:rPr>
        <w:t>.</w:t>
      </w:r>
    </w:p>
    <w:p w14:paraId="19137ED2" w14:textId="77777777" w:rsidR="003740BB" w:rsidRPr="00B406D7" w:rsidRDefault="003740BB" w:rsidP="00C37D1E">
      <w:pPr>
        <w:pStyle w:val="Encabezado"/>
        <w:snapToGrid w:val="0"/>
        <w:jc w:val="both"/>
        <w:rPr>
          <w:rFonts w:ascii="Verdana" w:eastAsia="Times New Roman" w:hAnsi="Verdana" w:cs="Arial"/>
          <w:sz w:val="22"/>
          <w:szCs w:val="22"/>
          <w:lang w:eastAsia="es-ES"/>
        </w:rPr>
      </w:pPr>
    </w:p>
    <w:p w14:paraId="1BF5003A" w14:textId="77777777" w:rsidR="003740BB" w:rsidRPr="00B406D7" w:rsidRDefault="003740BB" w:rsidP="00C37D1E">
      <w:pPr>
        <w:pStyle w:val="Encabezado"/>
        <w:snapToGrid w:val="0"/>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Conviene reiterar que conforme a la jurisprudencia del Consejo de Estado</w:t>
      </w:r>
      <w:r w:rsidRPr="00B406D7">
        <w:rPr>
          <w:rStyle w:val="Refdenotaalpie"/>
          <w:rFonts w:ascii="Verdana" w:eastAsia="Times New Roman" w:hAnsi="Verdana" w:cs="Arial"/>
          <w:sz w:val="22"/>
          <w:szCs w:val="22"/>
          <w:lang w:eastAsia="es-ES"/>
        </w:rPr>
        <w:footnoteReference w:id="24"/>
      </w:r>
      <w:r w:rsidRPr="00B406D7">
        <w:rPr>
          <w:rFonts w:ascii="Verdana" w:eastAsia="Times New Roman" w:hAnsi="Verdana" w:cs="Arial"/>
          <w:sz w:val="22"/>
          <w:szCs w:val="22"/>
          <w:lang w:eastAsia="es-ES"/>
        </w:rPr>
        <w:t>, la facultad de la Agencia Nacional de Contratación Pública – Colombia Compra Eficiente para regular aspectos técnicos en el marco de las competencias otorgadas por el Decreto-Ley 4170 de 2011, como es el caso del desarrollo e implementación de documentos tipo, no implica modificar el esquema constitucional establecido para el ejercicio de la potestad reglamentaria en cabeza del Gobierno Nacional:</w:t>
      </w:r>
    </w:p>
    <w:p w14:paraId="211684EB" w14:textId="77777777" w:rsidR="003740BB" w:rsidRPr="00B406D7" w:rsidRDefault="003740BB" w:rsidP="00C37D1E">
      <w:pPr>
        <w:pStyle w:val="Encabezado"/>
        <w:snapToGrid w:val="0"/>
        <w:jc w:val="both"/>
        <w:rPr>
          <w:rFonts w:ascii="Verdana" w:eastAsia="Times New Roman" w:hAnsi="Verdana" w:cs="Arial"/>
          <w:sz w:val="22"/>
          <w:szCs w:val="22"/>
          <w:lang w:eastAsia="es-ES"/>
        </w:rPr>
      </w:pPr>
    </w:p>
    <w:p w14:paraId="77F5E8A9" w14:textId="2EE38BA2" w:rsidR="003740BB" w:rsidRPr="00B406D7" w:rsidRDefault="00CB0047" w:rsidP="00C37D1E">
      <w:pPr>
        <w:snapToGrid w:val="0"/>
        <w:spacing w:after="0" w:line="240" w:lineRule="auto"/>
        <w:ind w:left="709" w:right="709"/>
        <w:jc w:val="both"/>
        <w:rPr>
          <w:rFonts w:ascii="Verdana" w:eastAsia="Times New Roman" w:hAnsi="Verdana" w:cs="Arial"/>
          <w:lang w:val="es-CO" w:eastAsia="es-ES"/>
        </w:rPr>
      </w:pPr>
      <w:r w:rsidRPr="00B406D7">
        <w:rPr>
          <w:rFonts w:ascii="Verdana" w:eastAsia="Times New Roman" w:hAnsi="Verdana" w:cs="Arial"/>
          <w:lang w:val="es-CO" w:eastAsia="es-ES"/>
        </w:rPr>
        <w:t>“</w:t>
      </w:r>
      <w:r w:rsidR="003740BB" w:rsidRPr="00B406D7">
        <w:rPr>
          <w:rFonts w:ascii="Verdana" w:eastAsia="Times New Roman" w:hAnsi="Verdana" w:cs="Arial"/>
          <w:lang w:val="es-CO" w:eastAsia="es-ES"/>
        </w:rPr>
        <w:t xml:space="preserve">[…] para la Sala resulta claro que con el Decreto-Ley 4170 de 2011 el legislador extraordinario no quiso modificar –como en efecto no lo hizo– el esquema de producción normativa establecido en la Constitución Política y, por lo mismo, las funciones asignadas a Colombia Compra Eficiente guardan una estricta lógica de jerarquía normativa respecto de las facultades reglamentarias reservadas al </w:t>
      </w:r>
      <w:proofErr w:type="gramStart"/>
      <w:r w:rsidR="003740BB" w:rsidRPr="00B406D7">
        <w:rPr>
          <w:rFonts w:ascii="Verdana" w:eastAsia="Times New Roman" w:hAnsi="Verdana" w:cs="Arial"/>
          <w:lang w:val="es-CO" w:eastAsia="es-ES"/>
        </w:rPr>
        <w:t>Presidente</w:t>
      </w:r>
      <w:proofErr w:type="gramEnd"/>
      <w:r w:rsidR="003740BB" w:rsidRPr="00B406D7">
        <w:rPr>
          <w:rFonts w:ascii="Verdana" w:eastAsia="Times New Roman" w:hAnsi="Verdana" w:cs="Arial"/>
          <w:lang w:val="es-CO" w:eastAsia="es-ES"/>
        </w:rPr>
        <w:t xml:space="preserve"> de la República y, por supuesto, respecto de los lineamientos legislativos. No podría considerarse que con el Decreto-Ley mencionado se distribuyeron las competencias reglamentarias entre el </w:t>
      </w:r>
      <w:proofErr w:type="gramStart"/>
      <w:r w:rsidR="003740BB" w:rsidRPr="00B406D7">
        <w:rPr>
          <w:rFonts w:ascii="Verdana" w:eastAsia="Times New Roman" w:hAnsi="Verdana" w:cs="Arial"/>
          <w:lang w:val="es-CO" w:eastAsia="es-ES"/>
        </w:rPr>
        <w:t>Presidente</w:t>
      </w:r>
      <w:proofErr w:type="gramEnd"/>
      <w:r w:rsidR="003740BB" w:rsidRPr="00B406D7">
        <w:rPr>
          <w:rFonts w:ascii="Verdana" w:eastAsia="Times New Roman" w:hAnsi="Verdana" w:cs="Arial"/>
          <w:lang w:val="es-CO" w:eastAsia="es-ES"/>
        </w:rPr>
        <w:t xml:space="preserve"> de la República y la nueva agencia, asignando a esta última todo aquello relativo a la contratación del Estado. Por el contrario, lo que resulta evidente es que </w:t>
      </w:r>
      <w:r w:rsidR="003740BB" w:rsidRPr="00B406D7">
        <w:rPr>
          <w:rFonts w:ascii="Verdana" w:eastAsia="Times New Roman" w:hAnsi="Verdana" w:cs="Arial"/>
          <w:u w:val="single"/>
          <w:lang w:val="es-CO" w:eastAsia="es-ES"/>
        </w:rPr>
        <w:t xml:space="preserve">el </w:t>
      </w:r>
      <w:proofErr w:type="gramStart"/>
      <w:r w:rsidR="003740BB" w:rsidRPr="00B406D7">
        <w:rPr>
          <w:rFonts w:ascii="Verdana" w:eastAsia="Times New Roman" w:hAnsi="Verdana" w:cs="Arial"/>
          <w:u w:val="single"/>
          <w:lang w:val="es-CO" w:eastAsia="es-ES"/>
        </w:rPr>
        <w:t>Presidente</w:t>
      </w:r>
      <w:proofErr w:type="gramEnd"/>
      <w:r w:rsidR="003740BB" w:rsidRPr="00B406D7">
        <w:rPr>
          <w:rFonts w:ascii="Verdana" w:eastAsia="Times New Roman" w:hAnsi="Verdana" w:cs="Arial"/>
          <w:u w:val="single"/>
          <w:lang w:val="es-CO" w:eastAsia="es-ES"/>
        </w:rPr>
        <w:t xml:space="preserve"> de la República cuenta ahora con una entidad especializada que lo apoya técnicamente</w:t>
      </w:r>
      <w:r w:rsidR="003740BB" w:rsidRPr="00B406D7">
        <w:rPr>
          <w:rFonts w:ascii="Verdana" w:eastAsia="Times New Roman" w:hAnsi="Verdana" w:cs="Arial"/>
          <w:lang w:val="es-CO" w:eastAsia="es-ES"/>
        </w:rPr>
        <w:t xml:space="preserve"> tanto en la formulación de una política pública en materia de compras y </w:t>
      </w:r>
      <w:r w:rsidR="003740BB" w:rsidRPr="00B406D7">
        <w:rPr>
          <w:rFonts w:ascii="Verdana" w:eastAsia="Times New Roman" w:hAnsi="Verdana" w:cs="Arial"/>
          <w:lang w:val="es-CO" w:eastAsia="es-ES"/>
        </w:rPr>
        <w:lastRenderedPageBreak/>
        <w:t xml:space="preserve">contratación pública, </w:t>
      </w:r>
      <w:r w:rsidR="003740BB" w:rsidRPr="00B406D7">
        <w:rPr>
          <w:rFonts w:ascii="Verdana" w:eastAsia="Times New Roman" w:hAnsi="Verdana" w:cs="Arial"/>
          <w:u w:val="single"/>
          <w:lang w:val="es-CO" w:eastAsia="es-ES"/>
        </w:rPr>
        <w:t>como en su labor de producción normativa, sin que por ello se desprenda de las normas pertinentes alguna suerte de escisión de las facultades</w:t>
      </w:r>
      <w:r w:rsidR="003740BB" w:rsidRPr="00B406D7">
        <w:rPr>
          <w:rFonts w:ascii="Verdana" w:eastAsia="Times New Roman" w:hAnsi="Verdana" w:cs="Arial"/>
          <w:b/>
          <w:bCs/>
          <w:lang w:val="es-CO" w:eastAsia="es-ES"/>
        </w:rPr>
        <w:t>.</w:t>
      </w:r>
      <w:r w:rsidR="003740BB" w:rsidRPr="00B406D7">
        <w:rPr>
          <w:rFonts w:ascii="Verdana" w:eastAsia="Times New Roman" w:hAnsi="Verdana" w:cs="Arial"/>
          <w:lang w:val="es-CO" w:eastAsia="es-ES"/>
        </w:rPr>
        <w:t xml:space="preserve"> Adicionalmente, las funciones asignadas a la Agencia, si bien pueden comportar una facultad de regulación de la actividad contractual pública, ella debe ser ejercida con sometimiento al esquema jerárquico normativo del sistema jurídico, por lo que deberá sujetarse, como consecuencia, a los dictados constitucionales, legales y a la reglamentación expedida por el </w:t>
      </w:r>
      <w:proofErr w:type="gramStart"/>
      <w:r w:rsidR="003740BB" w:rsidRPr="00B406D7">
        <w:rPr>
          <w:rFonts w:ascii="Verdana" w:eastAsia="Times New Roman" w:hAnsi="Verdana" w:cs="Arial"/>
          <w:lang w:val="es-CO" w:eastAsia="es-ES"/>
        </w:rPr>
        <w:t>Presidente</w:t>
      </w:r>
      <w:proofErr w:type="gramEnd"/>
      <w:r w:rsidR="003740BB" w:rsidRPr="00B406D7">
        <w:rPr>
          <w:rFonts w:ascii="Verdana" w:eastAsia="Times New Roman" w:hAnsi="Verdana" w:cs="Arial"/>
          <w:lang w:val="es-CO" w:eastAsia="es-ES"/>
        </w:rPr>
        <w:t xml:space="preserve"> de la República</w:t>
      </w:r>
      <w:r w:rsidRPr="00B406D7">
        <w:rPr>
          <w:rFonts w:ascii="Verdana" w:eastAsia="Times New Roman" w:hAnsi="Verdana" w:cs="Arial"/>
          <w:lang w:val="es-CO" w:eastAsia="es-ES"/>
        </w:rPr>
        <w:t>”</w:t>
      </w:r>
      <w:r w:rsidR="003740BB" w:rsidRPr="00B406D7">
        <w:rPr>
          <w:rStyle w:val="Refdenotaalpie"/>
          <w:rFonts w:ascii="Verdana" w:eastAsia="Times New Roman" w:hAnsi="Verdana" w:cs="Arial"/>
          <w:lang w:val="es-CO" w:eastAsia="es-ES"/>
        </w:rPr>
        <w:footnoteReference w:id="25"/>
      </w:r>
      <w:r w:rsidR="003740BB" w:rsidRPr="00B406D7">
        <w:rPr>
          <w:rFonts w:ascii="Verdana" w:eastAsia="Times New Roman" w:hAnsi="Verdana" w:cs="Arial"/>
          <w:i/>
          <w:iCs/>
          <w:lang w:val="es-CO" w:eastAsia="es-ES"/>
        </w:rPr>
        <w:t>.</w:t>
      </w:r>
      <w:r w:rsidR="003740BB" w:rsidRPr="00B406D7">
        <w:rPr>
          <w:rFonts w:ascii="Verdana" w:eastAsia="Times New Roman" w:hAnsi="Verdana" w:cs="Arial"/>
          <w:lang w:val="es-CO" w:eastAsia="es-ES"/>
        </w:rPr>
        <w:t xml:space="preserve"> (Subrayas por fuera del texto) </w:t>
      </w:r>
    </w:p>
    <w:p w14:paraId="2FEB8B90" w14:textId="77777777" w:rsidR="003740BB" w:rsidRPr="00B406D7" w:rsidRDefault="003740BB" w:rsidP="00C37D1E">
      <w:pPr>
        <w:pStyle w:val="Encabezado"/>
        <w:snapToGrid w:val="0"/>
        <w:ind w:left="709" w:right="709"/>
        <w:jc w:val="both"/>
        <w:rPr>
          <w:rFonts w:ascii="Verdana" w:eastAsia="Times New Roman" w:hAnsi="Verdana" w:cs="Arial"/>
          <w:sz w:val="22"/>
          <w:szCs w:val="22"/>
          <w:lang w:eastAsia="es-ES"/>
        </w:rPr>
      </w:pPr>
    </w:p>
    <w:p w14:paraId="7A55EA00" w14:textId="174F99CF" w:rsidR="003740BB" w:rsidRPr="00B406D7" w:rsidRDefault="003740BB" w:rsidP="00C37D1E">
      <w:pPr>
        <w:pStyle w:val="Encabezado"/>
        <w:snapToGrid w:val="0"/>
        <w:jc w:val="both"/>
        <w:rPr>
          <w:rFonts w:ascii="Verdana" w:eastAsia="Times New Roman" w:hAnsi="Verdana" w:cs="Arial"/>
          <w:sz w:val="22"/>
          <w:szCs w:val="22"/>
          <w:lang w:val="es-ES" w:eastAsia="es-ES"/>
        </w:rPr>
      </w:pPr>
      <w:r w:rsidRPr="00B406D7">
        <w:rPr>
          <w:rFonts w:ascii="Verdana" w:eastAsia="Times New Roman" w:hAnsi="Verdana" w:cs="Arial"/>
          <w:sz w:val="22"/>
          <w:szCs w:val="22"/>
          <w:lang w:eastAsia="es-ES"/>
        </w:rPr>
        <w:t>El anterior pronunciamiento fue proferido por parte del Consejo de Estado al estudiar la legalidad del artículo 159 del Decreto 1510 de 2013, respecto de la competencia de la Agencia Nacional de Contratación Pública – Colombia Compra Eficiente para el diseño e implementación de documentos estandarizados y especializados, dentro de los cuales se encuentran, entre otros, los documentos tipo. Al respecto, el alto tribunal consideró que esta competencia carecía de sustento normativo desde el punto de vista reglamentario por cuanto el artículo 2 de la Ley 1150 de 2007 confirió al Gobierno Nacional la facultad de fijar con</w:t>
      </w:r>
      <w:r w:rsidRPr="00B406D7">
        <w:rPr>
          <w:rFonts w:ascii="Verdana" w:eastAsia="Times New Roman" w:hAnsi="Verdana" w:cs="Arial"/>
          <w:sz w:val="22"/>
          <w:szCs w:val="22"/>
          <w:lang w:val="es-ES" w:eastAsia="es-ES"/>
        </w:rPr>
        <w:t xml:space="preserve"> fuerza vinculante, </w:t>
      </w:r>
      <w:r w:rsidR="00221F54" w:rsidRPr="00B406D7">
        <w:rPr>
          <w:rFonts w:ascii="Verdana" w:eastAsia="Times New Roman" w:hAnsi="Verdana" w:cs="Arial"/>
          <w:sz w:val="22"/>
          <w:szCs w:val="22"/>
          <w:lang w:val="es-ES" w:eastAsia="es-ES"/>
        </w:rPr>
        <w:t>“</w:t>
      </w:r>
      <w:r w:rsidRPr="00B406D7">
        <w:rPr>
          <w:rFonts w:ascii="Verdana" w:eastAsia="Times New Roman" w:hAnsi="Verdana" w:cs="Arial"/>
          <w:iCs/>
          <w:sz w:val="22"/>
          <w:szCs w:val="22"/>
          <w:lang w:val="es-ES" w:eastAsia="es-ES"/>
        </w:rPr>
        <w:t>las condiciones generales de los pliegos de condiciones y los contratos de las entidades estatales</w:t>
      </w:r>
      <w:r w:rsidR="00221F54" w:rsidRPr="00B406D7">
        <w:rPr>
          <w:rFonts w:ascii="Verdana" w:eastAsia="Times New Roman" w:hAnsi="Verdana" w:cs="Arial"/>
          <w:sz w:val="22"/>
          <w:szCs w:val="22"/>
          <w:lang w:val="es-ES" w:eastAsia="es-ES"/>
        </w:rPr>
        <w:t>”</w:t>
      </w:r>
      <w:r w:rsidRPr="00B406D7">
        <w:rPr>
          <w:rFonts w:ascii="Verdana" w:eastAsia="Times New Roman" w:hAnsi="Verdana" w:cs="Arial"/>
          <w:sz w:val="22"/>
          <w:szCs w:val="22"/>
          <w:lang w:val="es-ES" w:eastAsia="es-ES"/>
        </w:rPr>
        <w:t xml:space="preserve"> para la adquisición de bienes y servicios de características técnicas uniformes y de común utilización, sin hacer referencia a la adopción de otro tipo de contratos o modalidades. </w:t>
      </w:r>
    </w:p>
    <w:p w14:paraId="4CFF0845" w14:textId="77777777" w:rsidR="003740BB" w:rsidRPr="00B406D7" w:rsidRDefault="003740BB" w:rsidP="00C37D1E">
      <w:pPr>
        <w:pStyle w:val="Encabezado"/>
        <w:snapToGrid w:val="0"/>
        <w:jc w:val="both"/>
        <w:rPr>
          <w:rFonts w:ascii="Verdana" w:eastAsia="Times New Roman" w:hAnsi="Verdana" w:cs="Arial"/>
          <w:sz w:val="22"/>
          <w:szCs w:val="22"/>
          <w:lang w:val="es-ES" w:eastAsia="es-ES"/>
        </w:rPr>
      </w:pPr>
    </w:p>
    <w:p w14:paraId="6EED2C16" w14:textId="33E8C830" w:rsidR="003740BB" w:rsidRPr="00B406D7" w:rsidRDefault="003740BB" w:rsidP="00C37D1E">
      <w:pPr>
        <w:pStyle w:val="Encabezado"/>
        <w:snapToGrid w:val="0"/>
        <w:jc w:val="both"/>
        <w:rPr>
          <w:rFonts w:ascii="Verdana" w:eastAsia="Times New Roman" w:hAnsi="Verdana" w:cs="Arial"/>
          <w:b/>
          <w:sz w:val="22"/>
          <w:szCs w:val="22"/>
          <w:lang w:val="es-ES" w:eastAsia="es-ES"/>
        </w:rPr>
      </w:pPr>
      <w:r w:rsidRPr="00B406D7">
        <w:rPr>
          <w:rFonts w:ascii="Verdana" w:eastAsia="Times New Roman" w:hAnsi="Verdana" w:cs="Arial"/>
          <w:sz w:val="22"/>
          <w:szCs w:val="22"/>
          <w:lang w:val="es-ES" w:eastAsia="es-ES"/>
        </w:rPr>
        <w:t>De igual manera aclaró que, en el marco normativo en el cual fue expedido el Decreto 1510 de 2013, no se contaba con la facultad legal por parte de la Agencia Nacional de Contratación Pública – Colombia Compra Eficiente para el diseño e implementación de documentos estandarizados para ninguna modalidad de contratación con efectos obligatorios para las entidades públicas, salvo el evento señalado en el parágrafo 3 del artículo 2 de la Ley 1150 de 2007. No obstante, la expedición de la presente resolución se fundamenta en el artículo 1 de la Ley 2022 de 2020 que brinda el sustento normativo para la adopción de los documentos tipo. Esto con el fin de que la Agencia, como entidad administrativa especializada, los desarrolle e implemente dentro de los límites establecidos en la ley citada acorde con las funciones, objeto y misión de la entida</w:t>
      </w:r>
      <w:r w:rsidRPr="00B406D7">
        <w:rPr>
          <w:rFonts w:ascii="Verdana" w:eastAsia="Times New Roman" w:hAnsi="Verdana" w:cs="Arial"/>
          <w:bCs/>
          <w:sz w:val="22"/>
          <w:szCs w:val="22"/>
          <w:lang w:val="es-ES" w:eastAsia="es-ES"/>
        </w:rPr>
        <w:t>d.</w:t>
      </w:r>
    </w:p>
    <w:p w14:paraId="1BC12CD9" w14:textId="77777777" w:rsidR="003740BB" w:rsidRPr="00B406D7" w:rsidRDefault="003740BB" w:rsidP="00C37D1E">
      <w:pPr>
        <w:pStyle w:val="Encabezado"/>
        <w:snapToGrid w:val="0"/>
        <w:jc w:val="both"/>
        <w:rPr>
          <w:rFonts w:ascii="Verdana" w:eastAsia="Times New Roman" w:hAnsi="Verdana" w:cs="Arial"/>
          <w:b/>
          <w:sz w:val="22"/>
          <w:szCs w:val="22"/>
          <w:lang w:val="es-ES" w:eastAsia="es-ES"/>
        </w:rPr>
      </w:pPr>
    </w:p>
    <w:p w14:paraId="5CE24730" w14:textId="77777777" w:rsidR="003740BB" w:rsidRPr="00B406D7" w:rsidRDefault="003740BB" w:rsidP="00C37D1E">
      <w:pPr>
        <w:pStyle w:val="Encabezado"/>
        <w:snapToGrid w:val="0"/>
        <w:jc w:val="both"/>
        <w:rPr>
          <w:rFonts w:ascii="Verdana" w:eastAsia="Times New Roman" w:hAnsi="Verdana" w:cs="Arial"/>
          <w:sz w:val="22"/>
          <w:szCs w:val="22"/>
          <w:lang w:val="es-ES" w:eastAsia="es-ES"/>
        </w:rPr>
      </w:pPr>
      <w:r w:rsidRPr="00B406D7">
        <w:rPr>
          <w:rFonts w:ascii="Verdana" w:eastAsia="Times New Roman" w:hAnsi="Verdana" w:cs="Arial"/>
          <w:sz w:val="22"/>
          <w:szCs w:val="22"/>
          <w:lang w:val="es-ES" w:eastAsia="es-ES"/>
        </w:rPr>
        <w:t>Por lo tanto, a diferencia de lo establecido en el numeral 3 del artículo 159 del Decreto 1510 de 2013, esta reglamentación cuenta con un sustento jurídico suficiente. Lo anterior en la medida que el artículo 1 de la Ley 2022 de 2020 permite a la Agencia Nacional de Contratación Pública – Colombia Compra Eficiente concretar y desarrollar la voluntad del legislador mediante el ejercicio de la potestad reglamentaria.</w:t>
      </w:r>
      <w:r w:rsidRPr="00B406D7">
        <w:rPr>
          <w:rFonts w:ascii="Verdana" w:hAnsi="Verdana" w:cs="Arial"/>
          <w:color w:val="554F4F"/>
          <w:sz w:val="22"/>
          <w:szCs w:val="22"/>
        </w:rPr>
        <w:t xml:space="preserve"> </w:t>
      </w:r>
    </w:p>
    <w:p w14:paraId="6FD1EBC7" w14:textId="77777777" w:rsidR="003740BB" w:rsidRPr="00B406D7" w:rsidRDefault="003740BB" w:rsidP="00C37D1E">
      <w:pPr>
        <w:pStyle w:val="Encabezado"/>
        <w:snapToGrid w:val="0"/>
        <w:jc w:val="both"/>
        <w:rPr>
          <w:rFonts w:ascii="Verdana" w:eastAsia="Times New Roman" w:hAnsi="Verdana" w:cs="Arial"/>
          <w:sz w:val="22"/>
          <w:szCs w:val="22"/>
          <w:lang w:val="es-ES" w:eastAsia="es-ES"/>
        </w:rPr>
      </w:pPr>
    </w:p>
    <w:p w14:paraId="634F2E59" w14:textId="77777777" w:rsidR="003740BB" w:rsidRPr="00B406D7" w:rsidRDefault="003740BB" w:rsidP="00C37D1E">
      <w:pPr>
        <w:pStyle w:val="Encabezado"/>
        <w:snapToGrid w:val="0"/>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 xml:space="preserve">Mediante una interpretación sistemática de la normativa y jurisprudencia citada es posible concluir que esta Agencia tiene facultad de regulación de la actividad contractual </w:t>
      </w:r>
      <w:r w:rsidRPr="00B406D7">
        <w:rPr>
          <w:rFonts w:ascii="Verdana" w:eastAsia="Times New Roman" w:hAnsi="Verdana" w:cs="Arial"/>
          <w:sz w:val="22"/>
          <w:szCs w:val="22"/>
          <w:lang w:eastAsia="es-ES"/>
        </w:rPr>
        <w:lastRenderedPageBreak/>
        <w:t>pública, lo que implica la potestad para expedir normas de carácter técnico subordinadas a la Constitución y a la ley, y que los documentos tipo son una manifestación de dicha potestad. En consecuencia, la A</w:t>
      </w:r>
      <w:r w:rsidRPr="00B406D7">
        <w:rPr>
          <w:rFonts w:ascii="Verdana" w:hAnsi="Verdana"/>
          <w:sz w:val="22"/>
          <w:szCs w:val="22"/>
        </w:rPr>
        <w:tab/>
      </w:r>
      <w:proofErr w:type="spellStart"/>
      <w:r w:rsidRPr="00B406D7">
        <w:rPr>
          <w:rFonts w:ascii="Verdana" w:eastAsia="Times New Roman" w:hAnsi="Verdana" w:cs="Arial"/>
          <w:sz w:val="22"/>
          <w:szCs w:val="22"/>
          <w:lang w:eastAsia="es-ES"/>
        </w:rPr>
        <w:t>gencia</w:t>
      </w:r>
      <w:proofErr w:type="spellEnd"/>
      <w:r w:rsidRPr="00B406D7">
        <w:rPr>
          <w:rFonts w:ascii="Verdana" w:eastAsia="Times New Roman" w:hAnsi="Verdana" w:cs="Arial"/>
          <w:sz w:val="22"/>
          <w:szCs w:val="22"/>
          <w:lang w:eastAsia="es-ES"/>
        </w:rPr>
        <w:t xml:space="preserve"> Nacional de Contratación Pública – Colombia Compra Eficiente tiene la facultad de adoptar los documentos tipo, con fundamento en el artículo 1º de la Ley 2022 de 2020. </w:t>
      </w:r>
    </w:p>
    <w:p w14:paraId="6FB1EC50" w14:textId="77777777" w:rsidR="003740BB" w:rsidRPr="00B406D7" w:rsidRDefault="003740BB" w:rsidP="00C37D1E">
      <w:pPr>
        <w:pStyle w:val="Encabezado"/>
        <w:snapToGrid w:val="0"/>
        <w:jc w:val="both"/>
        <w:rPr>
          <w:rFonts w:ascii="Verdana" w:eastAsia="Times New Roman" w:hAnsi="Verdana" w:cs="Arial"/>
          <w:sz w:val="22"/>
          <w:szCs w:val="22"/>
          <w:lang w:eastAsia="es-ES"/>
        </w:rPr>
      </w:pPr>
    </w:p>
    <w:p w14:paraId="17C3AD0E" w14:textId="79580CE8" w:rsidR="003740BB" w:rsidRPr="00B406D7" w:rsidRDefault="003740BB" w:rsidP="00C37D1E">
      <w:pPr>
        <w:pStyle w:val="Encabezado"/>
        <w:snapToGrid w:val="0"/>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 xml:space="preserve">Igualmente, en desarrollo de la función que recae en la Agencia Nacional de Contratación Pública – Colombia Compra Eficiente conforme al artículo 2º del Decreto - Ley 4170 de 2011, la Agencia concretará la voluntad del legislador con la implementación, desarrollo, publicación, revisión y actualización de los documentos tipo, según el avance y aplicación que </w:t>
      </w:r>
      <w:r w:rsidR="00665A0F" w:rsidRPr="00B406D7">
        <w:rPr>
          <w:rFonts w:ascii="Verdana" w:eastAsia="Times New Roman" w:hAnsi="Verdana" w:cs="Arial"/>
          <w:sz w:val="22"/>
          <w:szCs w:val="22"/>
          <w:lang w:eastAsia="es-ES"/>
        </w:rPr>
        <w:t>e</w:t>
      </w:r>
      <w:r w:rsidRPr="00B406D7">
        <w:rPr>
          <w:rFonts w:ascii="Verdana" w:eastAsia="Times New Roman" w:hAnsi="Verdana" w:cs="Arial"/>
          <w:sz w:val="22"/>
          <w:szCs w:val="22"/>
          <w:lang w:eastAsia="es-ES"/>
        </w:rPr>
        <w:t xml:space="preserve">stos tengan en los sectores en los cuales se vienen adoptando. </w:t>
      </w:r>
    </w:p>
    <w:p w14:paraId="48D2AC74" w14:textId="77777777" w:rsidR="003740BB" w:rsidRPr="00B406D7" w:rsidRDefault="003740BB" w:rsidP="003740BB">
      <w:pPr>
        <w:pStyle w:val="Encabezado"/>
        <w:jc w:val="both"/>
        <w:rPr>
          <w:rFonts w:ascii="Verdana" w:eastAsia="Times New Roman" w:hAnsi="Verdana" w:cs="Arial"/>
          <w:sz w:val="22"/>
          <w:szCs w:val="22"/>
          <w:lang w:eastAsia="es-ES"/>
        </w:rPr>
      </w:pPr>
    </w:p>
    <w:p w14:paraId="552ECB16" w14:textId="3CCB9934" w:rsidR="003740BB" w:rsidRPr="00B406D7" w:rsidRDefault="00FB3BFF" w:rsidP="00FB3BFF">
      <w:pPr>
        <w:pStyle w:val="Normal11pt"/>
        <w:ind w:left="0" w:right="51"/>
        <w:rPr>
          <w:rFonts w:ascii="Verdana" w:hAnsi="Verdana"/>
          <w:b/>
          <w:bCs/>
          <w:color w:val="auto"/>
          <w:lang w:val="es-CO"/>
        </w:rPr>
      </w:pPr>
      <w:r w:rsidRPr="00B406D7">
        <w:rPr>
          <w:rFonts w:ascii="Verdana" w:hAnsi="Verdana"/>
          <w:b/>
          <w:bCs/>
          <w:color w:val="auto"/>
          <w:lang w:val="es-CO"/>
        </w:rPr>
        <w:t xml:space="preserve">4. </w:t>
      </w:r>
      <w:r w:rsidR="003740BB" w:rsidRPr="00B406D7">
        <w:rPr>
          <w:rFonts w:ascii="Verdana" w:hAnsi="Verdana"/>
          <w:b/>
          <w:bCs/>
          <w:color w:val="auto"/>
          <w:lang w:val="es-CO"/>
        </w:rPr>
        <w:t>Decisiones judiciales que pudieran tener impacto o ser relevantes para la expedición del acto</w:t>
      </w:r>
    </w:p>
    <w:p w14:paraId="7F31E8E0" w14:textId="77777777" w:rsidR="003740BB" w:rsidRPr="00B406D7" w:rsidRDefault="003740BB" w:rsidP="003740BB">
      <w:pPr>
        <w:pStyle w:val="Encabezado"/>
        <w:jc w:val="both"/>
        <w:rPr>
          <w:rFonts w:ascii="Verdana" w:eastAsia="Times New Roman" w:hAnsi="Verdana" w:cs="Arial"/>
          <w:sz w:val="22"/>
          <w:szCs w:val="22"/>
          <w:lang w:eastAsia="es-ES"/>
        </w:rPr>
      </w:pPr>
    </w:p>
    <w:p w14:paraId="38BFCA11" w14:textId="464C2C7F" w:rsidR="003740BB" w:rsidRPr="00B406D7" w:rsidRDefault="003740BB" w:rsidP="003740BB">
      <w:pPr>
        <w:pStyle w:val="Normal11pt"/>
        <w:ind w:left="0"/>
        <w:rPr>
          <w:rFonts w:ascii="Verdana" w:hAnsi="Verdana"/>
          <w:b/>
          <w:color w:val="auto"/>
          <w:lang w:val="es-CO"/>
        </w:rPr>
      </w:pPr>
      <w:r w:rsidRPr="00B406D7">
        <w:rPr>
          <w:rFonts w:ascii="Verdana" w:hAnsi="Verdana"/>
          <w:lang w:val="es-CO"/>
        </w:rPr>
        <w:t xml:space="preserve">En relación con los documentos tipo, las Altas Cortes se han pronunciado sobre la competencia de la Agencia Nacional de Contratación Pública – Colombia Compra Eficiente para expedirlos y sobre la naturaleza jurídica de dichos documentos. Las secciones </w:t>
      </w:r>
      <w:r w:rsidR="00132849" w:rsidRPr="00B406D7">
        <w:rPr>
          <w:rFonts w:ascii="Verdana" w:hAnsi="Verdana"/>
          <w:lang w:val="es-CO"/>
        </w:rPr>
        <w:t>3</w:t>
      </w:r>
      <w:r w:rsidRPr="00B406D7">
        <w:rPr>
          <w:rFonts w:ascii="Verdana" w:hAnsi="Verdana"/>
          <w:lang w:val="es-CO"/>
        </w:rPr>
        <w:t xml:space="preserve">.1 y </w:t>
      </w:r>
      <w:r w:rsidR="00132849" w:rsidRPr="00B406D7">
        <w:rPr>
          <w:rFonts w:ascii="Verdana" w:hAnsi="Verdana"/>
          <w:lang w:val="es-CO"/>
        </w:rPr>
        <w:t>3</w:t>
      </w:r>
      <w:r w:rsidRPr="00B406D7">
        <w:rPr>
          <w:rFonts w:ascii="Verdana" w:hAnsi="Verdana"/>
          <w:lang w:val="es-CO"/>
        </w:rPr>
        <w:t xml:space="preserve">.2 de esta memoria </w:t>
      </w:r>
      <w:proofErr w:type="gramStart"/>
      <w:r w:rsidRPr="00B406D7">
        <w:rPr>
          <w:rFonts w:ascii="Verdana" w:hAnsi="Verdana"/>
          <w:lang w:val="es-CO"/>
        </w:rPr>
        <w:t>justificativa  incluyen</w:t>
      </w:r>
      <w:proofErr w:type="gramEnd"/>
      <w:r w:rsidRPr="00B406D7">
        <w:rPr>
          <w:rFonts w:ascii="Verdana" w:hAnsi="Verdana"/>
          <w:lang w:val="es-CO"/>
        </w:rPr>
        <w:t xml:space="preserve"> los pronunciamientos vinculados a la competencia de esta Agencia para implementar y desarrollar documentos tipo. </w:t>
      </w:r>
    </w:p>
    <w:p w14:paraId="30B7CF36" w14:textId="77777777" w:rsidR="003740BB" w:rsidRPr="00B406D7" w:rsidRDefault="003740BB" w:rsidP="003740BB">
      <w:pPr>
        <w:pStyle w:val="Normal11pt"/>
        <w:ind w:left="0" w:right="51"/>
        <w:rPr>
          <w:rFonts w:ascii="Verdana" w:hAnsi="Verdana"/>
          <w:b/>
          <w:color w:val="auto"/>
          <w:lang w:val="es-CO"/>
        </w:rPr>
      </w:pPr>
    </w:p>
    <w:p w14:paraId="169506B6" w14:textId="708EFE35" w:rsidR="003740BB" w:rsidRPr="00B406D7" w:rsidRDefault="00FB3BFF" w:rsidP="00FB3BFF">
      <w:pPr>
        <w:pStyle w:val="Normal11pt"/>
        <w:ind w:left="0" w:right="51"/>
        <w:rPr>
          <w:rFonts w:ascii="Verdana" w:hAnsi="Verdana"/>
          <w:b/>
          <w:bCs/>
          <w:color w:val="auto"/>
          <w:lang w:val="es-CO"/>
        </w:rPr>
      </w:pPr>
      <w:r w:rsidRPr="00B406D7">
        <w:rPr>
          <w:rFonts w:ascii="Verdana" w:hAnsi="Verdana"/>
          <w:b/>
          <w:bCs/>
          <w:color w:val="auto"/>
          <w:lang w:val="es-CO"/>
        </w:rPr>
        <w:t xml:space="preserve">5. </w:t>
      </w:r>
      <w:r w:rsidR="003740BB" w:rsidRPr="00B406D7">
        <w:rPr>
          <w:rFonts w:ascii="Verdana" w:hAnsi="Verdana"/>
          <w:b/>
          <w:bCs/>
          <w:color w:val="auto"/>
          <w:lang w:val="es-CO"/>
        </w:rPr>
        <w:t xml:space="preserve">Vigencia de la ley o norma reglamentada o desarrollada </w:t>
      </w:r>
    </w:p>
    <w:p w14:paraId="6E2F4184" w14:textId="77777777" w:rsidR="003740BB" w:rsidRPr="00B406D7" w:rsidRDefault="003740BB" w:rsidP="003740BB">
      <w:pPr>
        <w:pStyle w:val="Encabezado"/>
        <w:ind w:right="51"/>
        <w:jc w:val="both"/>
        <w:rPr>
          <w:rFonts w:ascii="Verdana" w:eastAsia="Times New Roman" w:hAnsi="Verdana" w:cs="Arial"/>
          <w:sz w:val="22"/>
          <w:szCs w:val="22"/>
          <w:lang w:eastAsia="es-ES"/>
        </w:rPr>
      </w:pPr>
    </w:p>
    <w:p w14:paraId="25F15725" w14:textId="77777777" w:rsidR="003740BB" w:rsidRPr="00B406D7" w:rsidRDefault="003740BB" w:rsidP="003740BB">
      <w:pPr>
        <w:pStyle w:val="Encabezado"/>
        <w:ind w:right="51"/>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 xml:space="preserve">El artículo 1 de la Ley 2022 de 2020, objeto de reglamentación mediante la presente Resolución, se encuentra vigente desde el 22 de julio de 2020. </w:t>
      </w:r>
    </w:p>
    <w:p w14:paraId="4A9D1B89" w14:textId="77777777" w:rsidR="003740BB" w:rsidRPr="00B406D7" w:rsidRDefault="003740BB" w:rsidP="003740BB">
      <w:pPr>
        <w:pStyle w:val="Encabezado"/>
        <w:ind w:right="51"/>
        <w:jc w:val="both"/>
        <w:rPr>
          <w:rFonts w:ascii="Verdana" w:eastAsia="Times New Roman" w:hAnsi="Verdana" w:cs="Arial"/>
          <w:sz w:val="22"/>
          <w:szCs w:val="22"/>
          <w:lang w:eastAsia="es-ES"/>
        </w:rPr>
      </w:pPr>
    </w:p>
    <w:p w14:paraId="08362346" w14:textId="1D6CC2A3" w:rsidR="003740BB" w:rsidRPr="00B406D7" w:rsidRDefault="00786507" w:rsidP="00CF57B4">
      <w:pPr>
        <w:pStyle w:val="Normal11pt"/>
        <w:ind w:left="0" w:right="51"/>
        <w:rPr>
          <w:rFonts w:ascii="Verdana" w:hAnsi="Verdana"/>
          <w:b/>
          <w:bCs/>
        </w:rPr>
      </w:pPr>
      <w:r w:rsidRPr="00B406D7">
        <w:rPr>
          <w:rFonts w:ascii="Verdana" w:hAnsi="Verdana"/>
          <w:b/>
          <w:bCs/>
          <w:color w:val="auto"/>
          <w:lang w:val="es-CO"/>
        </w:rPr>
        <w:t>6.</w:t>
      </w:r>
      <w:r w:rsidR="00CF57B4" w:rsidRPr="00B406D7">
        <w:rPr>
          <w:rFonts w:ascii="Verdana" w:hAnsi="Verdana"/>
          <w:b/>
          <w:bCs/>
          <w:color w:val="auto"/>
          <w:lang w:val="es-CO"/>
        </w:rPr>
        <w:t xml:space="preserve"> </w:t>
      </w:r>
      <w:r w:rsidR="003740BB" w:rsidRPr="00B406D7">
        <w:rPr>
          <w:rFonts w:ascii="Verdana" w:hAnsi="Verdana"/>
          <w:b/>
          <w:bCs/>
          <w:color w:val="auto"/>
          <w:lang w:val="es-CO"/>
        </w:rPr>
        <w:t>Circunstancias jurídicas relevantes para la expedición de la resolución</w:t>
      </w:r>
    </w:p>
    <w:p w14:paraId="1FF3F95E" w14:textId="77777777" w:rsidR="003740BB" w:rsidRPr="00B406D7" w:rsidRDefault="003740BB" w:rsidP="003740BB">
      <w:pPr>
        <w:pStyle w:val="Normal11pt"/>
        <w:ind w:left="360" w:right="51"/>
        <w:rPr>
          <w:rFonts w:ascii="Verdana" w:hAnsi="Verdana"/>
          <w:b/>
          <w:color w:val="auto"/>
          <w:lang w:val="es-CO"/>
        </w:rPr>
      </w:pPr>
    </w:p>
    <w:p w14:paraId="6DB242D1" w14:textId="56364F0B" w:rsidR="003740BB" w:rsidRPr="00B406D7" w:rsidRDefault="00786507" w:rsidP="00CF57B4">
      <w:pPr>
        <w:pStyle w:val="Normal11pt"/>
        <w:ind w:left="0" w:right="51"/>
        <w:rPr>
          <w:rFonts w:ascii="Verdana" w:hAnsi="Verdana"/>
          <w:b/>
          <w:color w:val="auto"/>
          <w:lang w:val="es-CO"/>
        </w:rPr>
      </w:pPr>
      <w:r w:rsidRPr="00B406D7">
        <w:rPr>
          <w:rFonts w:ascii="Verdana" w:hAnsi="Verdana"/>
          <w:b/>
          <w:color w:val="auto"/>
          <w:lang w:val="es-CO"/>
        </w:rPr>
        <w:t>6.1</w:t>
      </w:r>
      <w:r w:rsidR="00CF57B4" w:rsidRPr="00B406D7">
        <w:rPr>
          <w:rFonts w:ascii="Verdana" w:hAnsi="Verdana"/>
          <w:b/>
          <w:color w:val="auto"/>
          <w:lang w:val="es-CO"/>
        </w:rPr>
        <w:t xml:space="preserve">. </w:t>
      </w:r>
      <w:r w:rsidR="003740BB" w:rsidRPr="00B406D7">
        <w:rPr>
          <w:rFonts w:ascii="Verdana" w:hAnsi="Verdana"/>
          <w:b/>
          <w:color w:val="auto"/>
          <w:lang w:val="es-CO"/>
        </w:rPr>
        <w:t xml:space="preserve">Obligatoriedad de los documentos tipo </w:t>
      </w:r>
    </w:p>
    <w:p w14:paraId="6ABA4A8D" w14:textId="77777777" w:rsidR="003740BB" w:rsidRPr="00B406D7" w:rsidRDefault="003740BB" w:rsidP="003740BB">
      <w:pPr>
        <w:pStyle w:val="Normal11pt"/>
        <w:ind w:left="0" w:right="51"/>
        <w:rPr>
          <w:rFonts w:ascii="Verdana" w:hAnsi="Verdana"/>
          <w:b/>
          <w:color w:val="auto"/>
          <w:lang w:val="es-CO"/>
        </w:rPr>
      </w:pPr>
    </w:p>
    <w:p w14:paraId="122CBFD3" w14:textId="0288DA5F" w:rsidR="003740BB" w:rsidRPr="00081F52" w:rsidRDefault="003740BB" w:rsidP="003740BB">
      <w:pPr>
        <w:pStyle w:val="Normal11pt"/>
        <w:ind w:left="0" w:right="51"/>
        <w:rPr>
          <w:rFonts w:ascii="Verdana" w:hAnsi="Verdana"/>
          <w:color w:val="auto"/>
          <w:lang w:val="es-CO"/>
        </w:rPr>
      </w:pPr>
      <w:r w:rsidRPr="00B406D7">
        <w:rPr>
          <w:rFonts w:ascii="Verdana" w:hAnsi="Verdana"/>
          <w:color w:val="auto"/>
          <w:lang w:val="es-CO"/>
        </w:rPr>
        <w:t xml:space="preserve">El legislador otorgó a la Agencia Nacional de Contratación Pública – Colombia Compra Eficiente la facultad de adoptar documentos tipo, con el propósito de que dichos documentos se acojan como actos administrativos reglamentarios de la ley. Lo anterior significa que los documentos tipo son desarrollo de la potestad reglamentaria </w:t>
      </w:r>
      <w:proofErr w:type="spellStart"/>
      <w:r w:rsidRPr="00B406D7">
        <w:rPr>
          <w:rFonts w:ascii="Verdana" w:hAnsi="Verdana"/>
          <w:i/>
          <w:iCs/>
          <w:color w:val="auto"/>
          <w:lang w:val="es-CO"/>
        </w:rPr>
        <w:t>secundum</w:t>
      </w:r>
      <w:proofErr w:type="spellEnd"/>
      <w:r w:rsidRPr="00B406D7">
        <w:rPr>
          <w:rFonts w:ascii="Verdana" w:hAnsi="Verdana"/>
          <w:i/>
          <w:iCs/>
          <w:color w:val="auto"/>
          <w:lang w:val="es-CO"/>
        </w:rPr>
        <w:t xml:space="preserve"> </w:t>
      </w:r>
      <w:proofErr w:type="spellStart"/>
      <w:r w:rsidRPr="00B406D7">
        <w:rPr>
          <w:rFonts w:ascii="Verdana" w:hAnsi="Verdana"/>
          <w:i/>
          <w:iCs/>
          <w:color w:val="auto"/>
          <w:lang w:val="es-CO"/>
        </w:rPr>
        <w:t>legem</w:t>
      </w:r>
      <w:proofErr w:type="spellEnd"/>
      <w:r w:rsidRPr="00B406D7">
        <w:rPr>
          <w:rFonts w:ascii="Verdana" w:hAnsi="Verdana"/>
          <w:color w:val="auto"/>
          <w:lang w:val="es-CO"/>
        </w:rPr>
        <w:t xml:space="preserve">, la cual, </w:t>
      </w:r>
      <w:r w:rsidR="00090E7A" w:rsidRPr="00B406D7">
        <w:rPr>
          <w:rFonts w:ascii="Verdana" w:hAnsi="Verdana"/>
          <w:color w:val="auto"/>
          <w:lang w:val="es-CO"/>
        </w:rPr>
        <w:t>“</w:t>
      </w:r>
      <w:r w:rsidRPr="00B406D7">
        <w:rPr>
          <w:rFonts w:ascii="Verdana" w:hAnsi="Verdana"/>
          <w:color w:val="auto"/>
          <w:lang w:val="es-CO"/>
        </w:rPr>
        <w:t>tiene su marco general en la ley [a fin] de proveer la adecuada ejecución de ésta, precisando circunstancias o pormenores no contenidos en ella […]</w:t>
      </w:r>
      <w:r w:rsidR="00090E7A" w:rsidRPr="00B406D7">
        <w:rPr>
          <w:rFonts w:ascii="Verdana" w:hAnsi="Verdana"/>
          <w:color w:val="auto"/>
          <w:lang w:val="es-CO"/>
        </w:rPr>
        <w:t>”</w:t>
      </w:r>
      <w:r w:rsidRPr="00B406D7">
        <w:rPr>
          <w:rStyle w:val="Refdenotaalpie"/>
          <w:rFonts w:ascii="Verdana" w:eastAsia="Calibri" w:hAnsi="Verdana"/>
          <w:color w:val="auto"/>
          <w:lang w:val="es-CO"/>
        </w:rPr>
        <w:footnoteReference w:id="26"/>
      </w:r>
      <w:r w:rsidRPr="00B406D7">
        <w:rPr>
          <w:rFonts w:ascii="Verdana" w:hAnsi="Verdana"/>
          <w:color w:val="auto"/>
          <w:lang w:val="es-CO"/>
        </w:rPr>
        <w:t xml:space="preserve">. En este sentido, la obligatoriedad de los documentos tipo proviene de la voluntad del legislador y de los actos administrativos que expresan la manifestación de la voluntad de la Administración con miras a producir efectos jurídicos de manera general. </w:t>
      </w:r>
    </w:p>
    <w:p w14:paraId="59C7BFC4" w14:textId="674A0433" w:rsidR="003740BB" w:rsidRPr="00B406D7" w:rsidRDefault="00786507" w:rsidP="00CF57B4">
      <w:pPr>
        <w:pStyle w:val="Normal11pt"/>
        <w:ind w:left="0" w:right="51"/>
        <w:rPr>
          <w:rFonts w:ascii="Verdana" w:hAnsi="Verdana"/>
          <w:b/>
          <w:color w:val="auto"/>
          <w:lang w:val="es-CO"/>
        </w:rPr>
      </w:pPr>
      <w:r w:rsidRPr="00B406D7">
        <w:rPr>
          <w:rFonts w:ascii="Verdana" w:hAnsi="Verdana"/>
          <w:b/>
          <w:color w:val="auto"/>
          <w:lang w:val="es-CO"/>
        </w:rPr>
        <w:lastRenderedPageBreak/>
        <w:t>6.2</w:t>
      </w:r>
      <w:r w:rsidR="00CF57B4" w:rsidRPr="00B406D7">
        <w:rPr>
          <w:rFonts w:ascii="Verdana" w:hAnsi="Verdana"/>
          <w:b/>
          <w:color w:val="auto"/>
          <w:lang w:val="es-CO"/>
        </w:rPr>
        <w:t xml:space="preserve">. </w:t>
      </w:r>
      <w:r w:rsidR="003740BB" w:rsidRPr="00B406D7">
        <w:rPr>
          <w:rFonts w:ascii="Verdana" w:hAnsi="Verdana"/>
          <w:b/>
          <w:color w:val="auto"/>
          <w:lang w:val="es-CO"/>
        </w:rPr>
        <w:t xml:space="preserve">Autonomía de las entidades territoriales </w:t>
      </w:r>
    </w:p>
    <w:p w14:paraId="5F14B24B" w14:textId="77777777" w:rsidR="003740BB" w:rsidRPr="00B406D7" w:rsidRDefault="003740BB" w:rsidP="003740BB">
      <w:pPr>
        <w:pStyle w:val="Normal11pt"/>
        <w:ind w:left="0" w:right="51"/>
        <w:rPr>
          <w:rFonts w:ascii="Verdana" w:hAnsi="Verdana"/>
          <w:b/>
          <w:color w:val="auto"/>
          <w:lang w:val="es-CO"/>
        </w:rPr>
      </w:pPr>
    </w:p>
    <w:p w14:paraId="3808DD42" w14:textId="77777777" w:rsidR="003740BB" w:rsidRPr="00B406D7" w:rsidRDefault="003740BB" w:rsidP="003740BB">
      <w:pPr>
        <w:pStyle w:val="Encabezado"/>
        <w:ind w:right="51"/>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 xml:space="preserve">Pese a que los documentos tipo tienen un contenido definido, las entidades que los apliquen cuentan con la posibilidad de establecer medidas dentro de sus Procesos de Contratación que reconozcan las características propias de su territorio, con lo cual se garantiza la autonomía territorial. </w:t>
      </w:r>
    </w:p>
    <w:p w14:paraId="471D0A0A" w14:textId="77777777" w:rsidR="003740BB" w:rsidRPr="00B406D7" w:rsidRDefault="003740BB" w:rsidP="003740BB">
      <w:pPr>
        <w:pStyle w:val="Encabezado"/>
        <w:ind w:right="51"/>
        <w:jc w:val="both"/>
        <w:rPr>
          <w:rFonts w:ascii="Verdana" w:eastAsia="Times New Roman" w:hAnsi="Verdana" w:cs="Arial"/>
          <w:sz w:val="22"/>
          <w:szCs w:val="22"/>
          <w:lang w:eastAsia="es-ES"/>
        </w:rPr>
      </w:pPr>
    </w:p>
    <w:p w14:paraId="4016EC09" w14:textId="77777777" w:rsidR="003740BB" w:rsidRPr="00B406D7" w:rsidRDefault="003740BB" w:rsidP="003740BB">
      <w:pPr>
        <w:pStyle w:val="Encabezado"/>
        <w:ind w:right="51"/>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Debe tenerse en cuenta que existen normas reglamentarias del orden nacional en materia de contratación pública que deben obedecer las entidades territoriales, sin que ello suponga una violación del principio de autonomía territorial. Ejemplo de esto es el Decreto 1082 de 2015 que, siendo una norma expedida por el Gobierno Nacional en ejercicio de la función consagrada en el numeral 11 del artículo 189 de la Constitución Política, es vinculante para las entidades territoriales.</w:t>
      </w:r>
    </w:p>
    <w:p w14:paraId="4A69FD45" w14:textId="77777777" w:rsidR="003740BB" w:rsidRPr="00B406D7" w:rsidRDefault="003740BB" w:rsidP="003740BB">
      <w:pPr>
        <w:pStyle w:val="Encabezado"/>
        <w:ind w:right="51"/>
        <w:jc w:val="both"/>
        <w:rPr>
          <w:rFonts w:ascii="Verdana" w:eastAsia="Times New Roman" w:hAnsi="Verdana" w:cs="Arial"/>
          <w:sz w:val="22"/>
          <w:szCs w:val="22"/>
          <w:lang w:eastAsia="es-ES"/>
        </w:rPr>
      </w:pPr>
    </w:p>
    <w:p w14:paraId="7604A702" w14:textId="4BC5B976" w:rsidR="003740BB" w:rsidRPr="00B406D7" w:rsidRDefault="003740BB" w:rsidP="003740BB">
      <w:pPr>
        <w:pStyle w:val="NormalWeb"/>
        <w:spacing w:before="0" w:beforeAutospacing="0" w:after="0" w:afterAutospacing="0"/>
        <w:ind w:right="51"/>
        <w:jc w:val="both"/>
        <w:rPr>
          <w:rFonts w:ascii="Verdana" w:hAnsi="Verdana" w:cs="Arial"/>
          <w:sz w:val="22"/>
          <w:szCs w:val="22"/>
          <w:lang w:eastAsia="es-ES"/>
        </w:rPr>
      </w:pPr>
      <w:r w:rsidRPr="00B406D7">
        <w:rPr>
          <w:rFonts w:ascii="Verdana" w:hAnsi="Verdana" w:cs="Arial"/>
          <w:sz w:val="22"/>
          <w:szCs w:val="22"/>
          <w:lang w:eastAsia="es-ES"/>
        </w:rPr>
        <w:t xml:space="preserve">Sobre el particular, la Corte Constitucional considera que </w:t>
      </w:r>
      <w:r w:rsidR="00735DA9" w:rsidRPr="00B406D7">
        <w:rPr>
          <w:rFonts w:ascii="Verdana" w:hAnsi="Verdana" w:cs="Arial"/>
          <w:sz w:val="22"/>
          <w:szCs w:val="22"/>
          <w:lang w:eastAsia="es-ES"/>
        </w:rPr>
        <w:t>“</w:t>
      </w:r>
      <w:r w:rsidRPr="00B406D7">
        <w:rPr>
          <w:rFonts w:ascii="Verdana" w:hAnsi="Verdana" w:cs="Arial"/>
          <w:sz w:val="22"/>
          <w:szCs w:val="22"/>
          <w:lang w:eastAsia="es-ES"/>
        </w:rPr>
        <w:t>[…] la autonomía que la Constitución Política otorga a las entidades territoriales responde al modelo de organización instituido en ella, en la medida que busca hacer efectivo el respeto a la identidad comunitaria local y a su capacidad</w:t>
      </w:r>
      <w:r w:rsidR="00A34601" w:rsidRPr="00B406D7">
        <w:rPr>
          <w:rFonts w:ascii="Verdana" w:hAnsi="Verdana" w:cs="Arial"/>
          <w:sz w:val="22"/>
          <w:szCs w:val="22"/>
          <w:lang w:eastAsia="es-ES"/>
        </w:rPr>
        <w:t xml:space="preserve"> de auto determinarse, sin que se ignore por eso la necesidad de que ciertas actividades sean coordinadas y planeadas desde el poder central</w:t>
      </w:r>
      <w:r w:rsidR="00735DA9" w:rsidRPr="00B406D7">
        <w:rPr>
          <w:rFonts w:ascii="Verdana" w:hAnsi="Verdana" w:cs="Arial"/>
          <w:sz w:val="22"/>
          <w:szCs w:val="22"/>
          <w:lang w:eastAsia="es-ES"/>
        </w:rPr>
        <w:t>”</w:t>
      </w:r>
      <w:r w:rsidR="00A34601" w:rsidRPr="00B406D7">
        <w:rPr>
          <w:rStyle w:val="Refdenotaalpie"/>
          <w:rFonts w:ascii="Verdana" w:hAnsi="Verdana" w:cs="Arial"/>
          <w:sz w:val="22"/>
          <w:szCs w:val="22"/>
          <w:lang w:eastAsia="es-ES"/>
        </w:rPr>
        <w:footnoteReference w:id="27"/>
      </w:r>
      <w:r w:rsidR="00A34601" w:rsidRPr="00B406D7">
        <w:rPr>
          <w:rFonts w:ascii="Verdana" w:hAnsi="Verdana" w:cs="Arial"/>
          <w:sz w:val="22"/>
          <w:szCs w:val="22"/>
          <w:lang w:eastAsia="es-ES"/>
        </w:rPr>
        <w:t>.</w:t>
      </w:r>
    </w:p>
    <w:p w14:paraId="166263B3" w14:textId="77777777" w:rsidR="003740BB" w:rsidRPr="00B406D7" w:rsidRDefault="003740BB" w:rsidP="009034B7">
      <w:pPr>
        <w:pStyle w:val="NormalWeb"/>
        <w:spacing w:before="0" w:beforeAutospacing="0" w:after="0" w:afterAutospacing="0"/>
        <w:ind w:right="51"/>
        <w:jc w:val="both"/>
        <w:rPr>
          <w:rFonts w:ascii="Verdana" w:hAnsi="Verdana" w:cs="Arial"/>
          <w:sz w:val="22"/>
          <w:szCs w:val="22"/>
          <w:lang w:eastAsia="es-ES"/>
        </w:rPr>
      </w:pPr>
    </w:p>
    <w:p w14:paraId="6C4FE415" w14:textId="392BF0F9" w:rsidR="009034B7" w:rsidRPr="00B406D7" w:rsidRDefault="00786507" w:rsidP="00CF57B4">
      <w:pPr>
        <w:spacing w:after="0" w:line="240" w:lineRule="auto"/>
        <w:ind w:right="51"/>
        <w:jc w:val="both"/>
        <w:rPr>
          <w:rFonts w:ascii="Verdana" w:hAnsi="Verdana" w:cs="Arial"/>
          <w:b/>
          <w:lang w:val="es-ES_tradnl"/>
        </w:rPr>
      </w:pPr>
      <w:r w:rsidRPr="00B406D7">
        <w:rPr>
          <w:rFonts w:ascii="Verdana" w:hAnsi="Verdana" w:cs="Arial"/>
          <w:b/>
          <w:lang w:val="es-ES_tradnl"/>
        </w:rPr>
        <w:t>7</w:t>
      </w:r>
      <w:r w:rsidR="00CF57B4" w:rsidRPr="00B406D7">
        <w:rPr>
          <w:rFonts w:ascii="Verdana" w:hAnsi="Verdana" w:cs="Arial"/>
          <w:b/>
          <w:lang w:val="es-ES_tradnl"/>
        </w:rPr>
        <w:t xml:space="preserve">. </w:t>
      </w:r>
      <w:r w:rsidR="009034B7" w:rsidRPr="00B406D7">
        <w:rPr>
          <w:rFonts w:ascii="Verdana" w:hAnsi="Verdana" w:cs="Arial"/>
          <w:b/>
          <w:lang w:val="es-ES_tradnl"/>
        </w:rPr>
        <w:t>Estructura de</w:t>
      </w:r>
      <w:r w:rsidR="00BE30FA" w:rsidRPr="00B406D7">
        <w:rPr>
          <w:rFonts w:ascii="Verdana" w:hAnsi="Verdana" w:cs="Arial"/>
          <w:b/>
          <w:lang w:val="es-ES_tradnl"/>
        </w:rPr>
        <w:t xml:space="preserve"> la Resolución</w:t>
      </w:r>
      <w:r w:rsidR="009034B7" w:rsidRPr="00B406D7">
        <w:rPr>
          <w:rFonts w:ascii="Verdana" w:hAnsi="Verdana" w:cs="Arial"/>
          <w:b/>
          <w:lang w:val="es-ES_tradnl"/>
        </w:rPr>
        <w:t xml:space="preserve"> </w:t>
      </w:r>
    </w:p>
    <w:p w14:paraId="7CA8F207" w14:textId="5062FA39" w:rsidR="00CC07C5" w:rsidRPr="00B406D7" w:rsidRDefault="001D7EC1" w:rsidP="00ED4496">
      <w:pPr>
        <w:pStyle w:val="Encabezado"/>
        <w:ind w:right="51"/>
        <w:jc w:val="both"/>
        <w:rPr>
          <w:rFonts w:ascii="Verdana" w:eastAsia="Times New Roman" w:hAnsi="Verdana" w:cs="Arial"/>
          <w:sz w:val="22"/>
          <w:szCs w:val="22"/>
          <w:lang w:eastAsia="es-ES"/>
        </w:rPr>
      </w:pPr>
      <w:r w:rsidRPr="00B406D7">
        <w:rPr>
          <w:rFonts w:ascii="Verdana" w:eastAsia="Times New Roman" w:hAnsi="Verdana" w:cs="Arial"/>
          <w:sz w:val="22"/>
          <w:szCs w:val="22"/>
          <w:lang w:eastAsia="es-ES"/>
        </w:rPr>
        <w:t>[Cuando se expida la Resolución]</w:t>
      </w:r>
    </w:p>
    <w:p w14:paraId="2E58EF57" w14:textId="5087FAF0" w:rsidR="00CC07C5" w:rsidRPr="00B406D7" w:rsidRDefault="00786507" w:rsidP="00CF57B4">
      <w:pPr>
        <w:pStyle w:val="Encabezado"/>
        <w:ind w:right="51"/>
        <w:jc w:val="both"/>
        <w:rPr>
          <w:rFonts w:ascii="Verdana" w:eastAsia="Times New Roman" w:hAnsi="Verdana" w:cs="Arial"/>
          <w:b/>
          <w:bCs/>
          <w:sz w:val="22"/>
          <w:szCs w:val="22"/>
          <w:lang w:val="es-ES" w:eastAsia="es-ES"/>
        </w:rPr>
      </w:pPr>
      <w:r w:rsidRPr="00B406D7">
        <w:rPr>
          <w:rFonts w:ascii="Verdana" w:eastAsia="Times New Roman" w:hAnsi="Verdana" w:cs="Arial"/>
          <w:b/>
          <w:bCs/>
          <w:sz w:val="22"/>
          <w:szCs w:val="22"/>
          <w:lang w:eastAsia="es-ES"/>
        </w:rPr>
        <w:t>8</w:t>
      </w:r>
      <w:r w:rsidR="00CF57B4" w:rsidRPr="00B406D7">
        <w:rPr>
          <w:rFonts w:ascii="Verdana" w:eastAsia="Times New Roman" w:hAnsi="Verdana" w:cs="Arial"/>
          <w:b/>
          <w:bCs/>
          <w:sz w:val="22"/>
          <w:szCs w:val="22"/>
          <w:lang w:eastAsia="es-ES"/>
        </w:rPr>
        <w:t xml:space="preserve">. </w:t>
      </w:r>
      <w:r w:rsidR="00CC07C5" w:rsidRPr="00B406D7">
        <w:rPr>
          <w:rFonts w:ascii="Verdana" w:eastAsia="Times New Roman" w:hAnsi="Verdana" w:cs="Arial"/>
          <w:b/>
          <w:bCs/>
          <w:sz w:val="22"/>
          <w:szCs w:val="22"/>
          <w:lang w:eastAsia="es-ES"/>
        </w:rPr>
        <w:t xml:space="preserve">Cronograma </w:t>
      </w:r>
      <w:r w:rsidR="001D7F4C" w:rsidRPr="00B406D7">
        <w:rPr>
          <w:rFonts w:ascii="Verdana" w:eastAsia="Times New Roman" w:hAnsi="Verdana" w:cs="Arial"/>
          <w:b/>
          <w:bCs/>
          <w:sz w:val="22"/>
          <w:szCs w:val="22"/>
          <w:lang w:eastAsia="es-ES"/>
        </w:rPr>
        <w:t>de las modificaciones</w:t>
      </w:r>
    </w:p>
    <w:p w14:paraId="5C46E6B0" w14:textId="77777777" w:rsidR="004B447B" w:rsidRPr="00B406D7" w:rsidRDefault="004B447B" w:rsidP="004B447B">
      <w:pPr>
        <w:pStyle w:val="Encabezado"/>
        <w:ind w:right="51"/>
        <w:jc w:val="both"/>
        <w:rPr>
          <w:rFonts w:ascii="Verdana" w:eastAsia="Times New Roman" w:hAnsi="Verdana" w:cs="Arial"/>
          <w:b/>
          <w:bCs/>
          <w:sz w:val="22"/>
          <w:szCs w:val="22"/>
          <w:lang w:eastAsia="es-ES"/>
        </w:rPr>
      </w:pPr>
    </w:p>
    <w:p w14:paraId="5532E98A" w14:textId="2A8A6EB3" w:rsidR="00C44E63" w:rsidRPr="00B406D7" w:rsidRDefault="00A75D87" w:rsidP="004B447B">
      <w:pPr>
        <w:pStyle w:val="Encabezado"/>
        <w:ind w:right="51"/>
        <w:jc w:val="both"/>
        <w:rPr>
          <w:rFonts w:ascii="Verdana" w:eastAsia="Times New Roman" w:hAnsi="Verdana" w:cs="Arial"/>
          <w:sz w:val="22"/>
          <w:szCs w:val="22"/>
          <w:lang w:val="es-ES" w:eastAsia="es-ES"/>
        </w:rPr>
      </w:pPr>
      <w:r w:rsidRPr="00B406D7">
        <w:rPr>
          <w:rFonts w:ascii="Verdana" w:eastAsia="Times New Roman" w:hAnsi="Verdana" w:cs="Arial"/>
          <w:sz w:val="22"/>
          <w:szCs w:val="22"/>
          <w:lang w:val="es-ES" w:eastAsia="es-ES"/>
        </w:rPr>
        <w:t>El artículo 1 de la Ley 2022 de 2020 establece que la Agencia Nacional de Contratación Pública</w:t>
      </w:r>
      <w:r w:rsidR="00A8281C" w:rsidRPr="00B406D7">
        <w:rPr>
          <w:rFonts w:ascii="Verdana" w:eastAsia="Times New Roman" w:hAnsi="Verdana" w:cs="Arial"/>
          <w:sz w:val="22"/>
          <w:szCs w:val="22"/>
          <w:lang w:val="es-ES" w:eastAsia="es-ES"/>
        </w:rPr>
        <w:t xml:space="preserve">- Colombia Compra Eficiente </w:t>
      </w:r>
      <w:r w:rsidRPr="00B406D7">
        <w:rPr>
          <w:rFonts w:ascii="Verdana" w:eastAsia="Times New Roman" w:hAnsi="Verdana" w:cs="Arial"/>
          <w:sz w:val="22"/>
          <w:szCs w:val="22"/>
          <w:lang w:val="es-ES" w:eastAsia="es-ES"/>
        </w:rPr>
        <w:t>fijará un cronograma y definirá en coordinación con las entidades técnicas o especializadas el procedimiento para implementar los documentos tipo, con el propósito de facilitar la incorporación de estos en el sistema de compra pública. Conforme a ello, las entidades especializadas −</w:t>
      </w:r>
      <w:r w:rsidR="00DD3015" w:rsidRPr="00B406D7">
        <w:rPr>
          <w:rFonts w:ascii="Verdana" w:eastAsia="Times New Roman" w:hAnsi="Verdana" w:cs="Arial"/>
          <w:sz w:val="22"/>
          <w:szCs w:val="22"/>
          <w:lang w:val="es-ES" w:eastAsia="es-ES"/>
        </w:rPr>
        <w:t>XX</w:t>
      </w:r>
      <w:r w:rsidRPr="00B406D7">
        <w:rPr>
          <w:rFonts w:ascii="Verdana" w:eastAsia="Times New Roman" w:hAnsi="Verdana" w:cs="Arial"/>
          <w:sz w:val="22"/>
          <w:szCs w:val="22"/>
          <w:lang w:val="es-ES" w:eastAsia="es-ES"/>
        </w:rPr>
        <w:t>− en la mesa de trabajo adelantada</w:t>
      </w:r>
      <w:r w:rsidR="00A8281C" w:rsidRPr="00B406D7">
        <w:rPr>
          <w:rFonts w:ascii="Verdana" w:eastAsia="Times New Roman" w:hAnsi="Verdana" w:cs="Arial"/>
          <w:sz w:val="22"/>
          <w:szCs w:val="22"/>
          <w:lang w:val="es-ES" w:eastAsia="es-ES"/>
        </w:rPr>
        <w:t xml:space="preserve"> el </w:t>
      </w:r>
      <w:r w:rsidR="005F6CB8" w:rsidRPr="00B406D7">
        <w:rPr>
          <w:rFonts w:ascii="Verdana" w:eastAsia="Times New Roman" w:hAnsi="Verdana" w:cs="Arial"/>
          <w:sz w:val="22"/>
          <w:szCs w:val="22"/>
          <w:lang w:val="es-ES" w:eastAsia="es-ES"/>
        </w:rPr>
        <w:t>XX</w:t>
      </w:r>
      <w:r w:rsidR="00A8281C" w:rsidRPr="00B406D7">
        <w:rPr>
          <w:rFonts w:ascii="Verdana" w:eastAsia="Times New Roman" w:hAnsi="Verdana" w:cs="Arial"/>
          <w:sz w:val="22"/>
          <w:szCs w:val="22"/>
          <w:lang w:val="es-ES" w:eastAsia="es-ES"/>
        </w:rPr>
        <w:t xml:space="preserve"> de </w:t>
      </w:r>
      <w:r w:rsidR="005F6CB8" w:rsidRPr="00B406D7">
        <w:rPr>
          <w:rFonts w:ascii="Verdana" w:eastAsia="Times New Roman" w:hAnsi="Verdana" w:cs="Arial"/>
          <w:sz w:val="22"/>
          <w:szCs w:val="22"/>
          <w:lang w:val="es-ES" w:eastAsia="es-ES"/>
        </w:rPr>
        <w:t>XX</w:t>
      </w:r>
      <w:r w:rsidR="00A8281C" w:rsidRPr="00B406D7">
        <w:rPr>
          <w:rFonts w:ascii="Verdana" w:eastAsia="Times New Roman" w:hAnsi="Verdana" w:cs="Arial"/>
          <w:sz w:val="22"/>
          <w:szCs w:val="22"/>
          <w:lang w:val="es-ES" w:eastAsia="es-ES"/>
        </w:rPr>
        <w:t xml:space="preserve"> de 2024</w:t>
      </w:r>
      <w:r w:rsidRPr="00B406D7">
        <w:rPr>
          <w:rFonts w:ascii="Verdana" w:eastAsia="Times New Roman" w:hAnsi="Verdana" w:cs="Arial"/>
          <w:sz w:val="22"/>
          <w:szCs w:val="22"/>
          <w:lang w:val="es-ES" w:eastAsia="es-ES"/>
        </w:rPr>
        <w:t xml:space="preserve">, decidieron que la implementación de estos documentos tipo y, por tanto, su obligatoriedad se daría a partir del </w:t>
      </w:r>
      <w:r w:rsidR="005F6CB8" w:rsidRPr="00B406D7">
        <w:rPr>
          <w:rFonts w:ascii="Verdana" w:eastAsia="Times New Roman" w:hAnsi="Verdana" w:cs="Arial"/>
          <w:sz w:val="22"/>
          <w:szCs w:val="22"/>
          <w:lang w:eastAsia="es-ES"/>
        </w:rPr>
        <w:t>XX</w:t>
      </w:r>
      <w:r w:rsidR="00872F99" w:rsidRPr="00B406D7">
        <w:rPr>
          <w:rFonts w:ascii="Verdana" w:eastAsia="Times New Roman" w:hAnsi="Verdana" w:cs="Arial"/>
          <w:sz w:val="22"/>
          <w:szCs w:val="22"/>
          <w:lang w:eastAsia="es-ES"/>
        </w:rPr>
        <w:t xml:space="preserve"> de </w:t>
      </w:r>
      <w:r w:rsidR="005F6CB8" w:rsidRPr="00B406D7">
        <w:rPr>
          <w:rFonts w:ascii="Verdana" w:eastAsia="Times New Roman" w:hAnsi="Verdana" w:cs="Arial"/>
          <w:sz w:val="22"/>
          <w:szCs w:val="22"/>
          <w:lang w:eastAsia="es-ES"/>
        </w:rPr>
        <w:t>XX</w:t>
      </w:r>
      <w:r w:rsidR="00872F99" w:rsidRPr="00B406D7">
        <w:rPr>
          <w:rFonts w:ascii="Verdana" w:eastAsia="Times New Roman" w:hAnsi="Verdana" w:cs="Arial"/>
          <w:sz w:val="22"/>
          <w:szCs w:val="22"/>
          <w:lang w:eastAsia="es-ES"/>
        </w:rPr>
        <w:t xml:space="preserve"> de 2025</w:t>
      </w:r>
      <w:r w:rsidRPr="00B406D7">
        <w:rPr>
          <w:rFonts w:ascii="Verdana" w:eastAsia="Times New Roman" w:hAnsi="Verdana" w:cs="Arial"/>
          <w:sz w:val="22"/>
          <w:szCs w:val="22"/>
          <w:lang w:val="es-ES" w:eastAsia="es-ES"/>
        </w:rPr>
        <w:t xml:space="preserve">. En tal sentido, el siguiente constituye el cronograma para la </w:t>
      </w:r>
      <w:r w:rsidR="00C44E63" w:rsidRPr="00B406D7">
        <w:rPr>
          <w:rFonts w:ascii="Verdana" w:eastAsia="Times New Roman" w:hAnsi="Verdana" w:cs="Arial"/>
          <w:sz w:val="22"/>
          <w:szCs w:val="22"/>
          <w:lang w:val="es-ES" w:eastAsia="es-ES"/>
        </w:rPr>
        <w:t xml:space="preserve">actualización </w:t>
      </w:r>
      <w:r w:rsidRPr="00B406D7">
        <w:rPr>
          <w:rFonts w:ascii="Verdana" w:eastAsia="Times New Roman" w:hAnsi="Verdana" w:cs="Arial"/>
          <w:sz w:val="22"/>
          <w:szCs w:val="22"/>
          <w:lang w:val="es-ES" w:eastAsia="es-ES"/>
        </w:rPr>
        <w:t>de los documentos tipo de</w:t>
      </w:r>
      <w:r w:rsidR="00C60BED" w:rsidRPr="00B406D7">
        <w:rPr>
          <w:rFonts w:ascii="Verdana" w:eastAsia="Times New Roman" w:hAnsi="Verdana" w:cs="Arial"/>
          <w:sz w:val="22"/>
          <w:szCs w:val="22"/>
          <w:lang w:val="es-ES" w:eastAsia="es-ES"/>
        </w:rPr>
        <w:t xml:space="preserve"> concurso de méritos para contratar la consultoría de estudios de ingeniería de infraestructura de transporte </w:t>
      </w:r>
      <w:r w:rsidR="004E1EDD" w:rsidRPr="00B406D7">
        <w:rPr>
          <w:rFonts w:ascii="Verdana" w:eastAsia="Times New Roman" w:hAnsi="Verdana" w:cs="Arial"/>
          <w:sz w:val="22"/>
          <w:szCs w:val="22"/>
          <w:lang w:val="es-ES" w:eastAsia="es-ES"/>
        </w:rPr>
        <w:t>–</w:t>
      </w:r>
      <w:r w:rsidR="00C44E63" w:rsidRPr="00B406D7">
        <w:rPr>
          <w:rFonts w:ascii="Verdana" w:eastAsia="Times New Roman" w:hAnsi="Verdana" w:cs="Arial"/>
          <w:sz w:val="22"/>
          <w:szCs w:val="22"/>
          <w:lang w:val="es-ES" w:eastAsia="es-ES"/>
        </w:rPr>
        <w:t xml:space="preserve">versión </w:t>
      </w:r>
      <w:r w:rsidR="00833CBE" w:rsidRPr="00B406D7">
        <w:rPr>
          <w:rFonts w:ascii="Verdana" w:eastAsia="Times New Roman" w:hAnsi="Verdana" w:cs="Arial"/>
          <w:sz w:val="22"/>
          <w:szCs w:val="22"/>
          <w:lang w:val="es-ES" w:eastAsia="es-ES"/>
        </w:rPr>
        <w:t>2</w:t>
      </w:r>
      <w:r w:rsidR="004E1EDD" w:rsidRPr="00B406D7">
        <w:rPr>
          <w:rFonts w:ascii="Verdana" w:eastAsia="Times New Roman" w:hAnsi="Verdana" w:cs="Arial"/>
          <w:sz w:val="22"/>
          <w:szCs w:val="22"/>
          <w:lang w:val="es-ES" w:eastAsia="es-ES"/>
        </w:rPr>
        <w:t>–</w:t>
      </w:r>
      <w:r w:rsidRPr="00B406D7">
        <w:rPr>
          <w:rFonts w:ascii="Verdana" w:eastAsia="Times New Roman" w:hAnsi="Verdana" w:cs="Arial"/>
          <w:sz w:val="22"/>
          <w:szCs w:val="22"/>
          <w:lang w:val="es-ES" w:eastAsia="es-ES"/>
        </w:rPr>
        <w:t xml:space="preserve">: </w:t>
      </w:r>
    </w:p>
    <w:p w14:paraId="64B5B732" w14:textId="77777777" w:rsidR="00A75D87" w:rsidRPr="00B406D7" w:rsidRDefault="00A75D87" w:rsidP="004B447B">
      <w:pPr>
        <w:pStyle w:val="Encabezado"/>
        <w:ind w:right="51"/>
        <w:jc w:val="both"/>
        <w:rPr>
          <w:rFonts w:ascii="Verdana" w:eastAsia="Times New Roman" w:hAnsi="Verdana" w:cs="Arial"/>
          <w:sz w:val="22"/>
          <w:szCs w:val="22"/>
          <w:lang w:val="es-ES" w:eastAsia="es-ES"/>
        </w:rPr>
      </w:pPr>
    </w:p>
    <w:p w14:paraId="6E406C31" w14:textId="77777777" w:rsidR="00696DE0" w:rsidRPr="00B406D7" w:rsidRDefault="00696DE0" w:rsidP="004B447B">
      <w:pPr>
        <w:pStyle w:val="Encabezado"/>
        <w:ind w:right="51"/>
        <w:jc w:val="both"/>
        <w:rPr>
          <w:rFonts w:ascii="Verdana" w:eastAsia="Times New Roman" w:hAnsi="Verdana" w:cs="Arial"/>
          <w:sz w:val="22"/>
          <w:szCs w:val="22"/>
          <w:lang w:val="es-ES" w:eastAsia="es-ES"/>
        </w:rPr>
      </w:pPr>
    </w:p>
    <w:tbl>
      <w:tblPr>
        <w:tblW w:w="850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4A0" w:firstRow="1" w:lastRow="0" w:firstColumn="1" w:lastColumn="0" w:noHBand="0" w:noVBand="1"/>
      </w:tblPr>
      <w:tblGrid>
        <w:gridCol w:w="753"/>
        <w:gridCol w:w="2503"/>
        <w:gridCol w:w="2462"/>
        <w:gridCol w:w="1443"/>
        <w:gridCol w:w="1339"/>
      </w:tblGrid>
      <w:tr w:rsidR="00EA3DF9" w:rsidRPr="00712D2C" w14:paraId="2B607607" w14:textId="77777777" w:rsidTr="00597522">
        <w:trPr>
          <w:trHeight w:val="13"/>
          <w:tblHeader/>
          <w:jc w:val="center"/>
        </w:trPr>
        <w:tc>
          <w:tcPr>
            <w:tcW w:w="8500" w:type="dxa"/>
            <w:gridSpan w:val="5"/>
            <w:shd w:val="clear" w:color="auto" w:fill="D9D9D9" w:themeFill="background1" w:themeFillShade="D9"/>
            <w:noWrap/>
            <w:vAlign w:val="center"/>
            <w:hideMark/>
          </w:tcPr>
          <w:p w14:paraId="0AD1BD86" w14:textId="389BF189" w:rsidR="00EA3DF9" w:rsidRPr="00712D2C" w:rsidRDefault="00EA3DF9" w:rsidP="0080392C">
            <w:pPr>
              <w:pStyle w:val="Encabezado"/>
              <w:ind w:right="51"/>
              <w:jc w:val="center"/>
              <w:rPr>
                <w:rFonts w:ascii="Verdana" w:eastAsia="Times New Roman" w:hAnsi="Verdana" w:cs="Arial"/>
                <w:b/>
                <w:bCs/>
                <w:sz w:val="20"/>
                <w:szCs w:val="20"/>
                <w:lang w:eastAsia="es-ES"/>
              </w:rPr>
            </w:pPr>
            <w:r w:rsidRPr="00712D2C">
              <w:rPr>
                <w:rFonts w:ascii="Verdana" w:eastAsia="Times New Roman" w:hAnsi="Verdana" w:cs="Arial"/>
                <w:b/>
                <w:bCs/>
                <w:sz w:val="20"/>
                <w:szCs w:val="20"/>
                <w:lang w:eastAsia="es-ES"/>
              </w:rPr>
              <w:lastRenderedPageBreak/>
              <w:t xml:space="preserve">DOCUMENTOS TIPO </w:t>
            </w:r>
            <w:r w:rsidR="00190D38" w:rsidRPr="00712D2C">
              <w:rPr>
                <w:rFonts w:ascii="Verdana" w:eastAsia="Times New Roman" w:hAnsi="Verdana" w:cs="Arial"/>
                <w:b/>
                <w:bCs/>
                <w:sz w:val="20"/>
                <w:szCs w:val="20"/>
                <w:lang w:eastAsia="es-ES"/>
              </w:rPr>
              <w:t>DE CONSULTORÍA DE ESTUDIOS DE INGENIERÍA</w:t>
            </w:r>
            <w:r w:rsidR="00B66F8A" w:rsidRPr="00712D2C">
              <w:rPr>
                <w:rFonts w:ascii="Verdana" w:eastAsia="Times New Roman" w:hAnsi="Verdana" w:cs="Arial"/>
                <w:b/>
                <w:bCs/>
                <w:sz w:val="20"/>
                <w:szCs w:val="20"/>
                <w:lang w:eastAsia="es-ES"/>
              </w:rPr>
              <w:t xml:space="preserve"> DE INFRAESTRUCTURA DE TRANSPORTE</w:t>
            </w:r>
            <w:r w:rsidRPr="00712D2C">
              <w:rPr>
                <w:rFonts w:ascii="Verdana" w:eastAsia="Times New Roman" w:hAnsi="Verdana" w:cs="Arial"/>
                <w:b/>
                <w:bCs/>
                <w:sz w:val="20"/>
                <w:szCs w:val="20"/>
                <w:lang w:eastAsia="es-ES"/>
              </w:rPr>
              <w:t xml:space="preserve"> – VERSIÓN </w:t>
            </w:r>
            <w:r w:rsidR="00B66F8A" w:rsidRPr="00712D2C">
              <w:rPr>
                <w:rFonts w:ascii="Verdana" w:eastAsia="Times New Roman" w:hAnsi="Verdana" w:cs="Arial"/>
                <w:b/>
                <w:bCs/>
                <w:sz w:val="20"/>
                <w:szCs w:val="20"/>
                <w:lang w:eastAsia="es-ES"/>
              </w:rPr>
              <w:t>2</w:t>
            </w:r>
          </w:p>
        </w:tc>
      </w:tr>
      <w:tr w:rsidR="00EA3DF9" w:rsidRPr="00712D2C" w14:paraId="2E3B7632" w14:textId="77777777" w:rsidTr="00597522">
        <w:trPr>
          <w:trHeight w:val="458"/>
          <w:tblHeader/>
          <w:jc w:val="center"/>
        </w:trPr>
        <w:tc>
          <w:tcPr>
            <w:tcW w:w="753" w:type="dxa"/>
            <w:vMerge w:val="restart"/>
            <w:shd w:val="clear" w:color="auto" w:fill="F2F2F2" w:themeFill="background1" w:themeFillShade="F2"/>
            <w:noWrap/>
            <w:vAlign w:val="center"/>
            <w:hideMark/>
          </w:tcPr>
          <w:p w14:paraId="2E9CB4CC" w14:textId="77777777" w:rsidR="00EA3DF9" w:rsidRPr="00712D2C" w:rsidRDefault="00EA3DF9" w:rsidP="00A6760A">
            <w:pPr>
              <w:spacing w:after="0" w:line="240" w:lineRule="auto"/>
              <w:jc w:val="center"/>
              <w:rPr>
                <w:rFonts w:ascii="Verdana" w:eastAsia="Times New Roman" w:hAnsi="Verdana" w:cs="Arial"/>
                <w:b/>
                <w:bCs/>
                <w:sz w:val="20"/>
                <w:szCs w:val="20"/>
                <w:lang w:eastAsia="es-CO"/>
              </w:rPr>
            </w:pPr>
            <w:r w:rsidRPr="00712D2C">
              <w:rPr>
                <w:rFonts w:ascii="Verdana" w:eastAsia="Times New Roman" w:hAnsi="Verdana" w:cs="Arial"/>
                <w:b/>
                <w:bCs/>
                <w:sz w:val="20"/>
                <w:szCs w:val="20"/>
                <w:lang w:eastAsia="es-CO"/>
              </w:rPr>
              <w:t>No.</w:t>
            </w:r>
          </w:p>
        </w:tc>
        <w:tc>
          <w:tcPr>
            <w:tcW w:w="2503" w:type="dxa"/>
            <w:vMerge w:val="restart"/>
            <w:shd w:val="clear" w:color="auto" w:fill="F2F2F2" w:themeFill="background1" w:themeFillShade="F2"/>
            <w:vAlign w:val="center"/>
            <w:hideMark/>
          </w:tcPr>
          <w:p w14:paraId="4CD0D02C" w14:textId="77777777" w:rsidR="00EA3DF9" w:rsidRPr="00712D2C" w:rsidRDefault="00EA3DF9" w:rsidP="00A6760A">
            <w:pPr>
              <w:spacing w:after="0" w:line="240" w:lineRule="auto"/>
              <w:jc w:val="center"/>
              <w:rPr>
                <w:rFonts w:ascii="Verdana" w:eastAsia="Times New Roman" w:hAnsi="Verdana" w:cs="Arial"/>
                <w:b/>
                <w:bCs/>
                <w:sz w:val="20"/>
                <w:szCs w:val="20"/>
                <w:lang w:eastAsia="es-CO"/>
              </w:rPr>
            </w:pPr>
            <w:r w:rsidRPr="00712D2C">
              <w:rPr>
                <w:rFonts w:ascii="Verdana" w:eastAsia="Times New Roman" w:hAnsi="Verdana" w:cs="Arial"/>
                <w:b/>
                <w:bCs/>
                <w:sz w:val="20"/>
                <w:szCs w:val="20"/>
                <w:lang w:eastAsia="es-CO"/>
              </w:rPr>
              <w:t>Componentes e hitos</w:t>
            </w:r>
          </w:p>
        </w:tc>
        <w:tc>
          <w:tcPr>
            <w:tcW w:w="2526" w:type="dxa"/>
            <w:vMerge w:val="restart"/>
            <w:shd w:val="clear" w:color="auto" w:fill="F2F2F2" w:themeFill="background1" w:themeFillShade="F2"/>
            <w:vAlign w:val="center"/>
            <w:hideMark/>
          </w:tcPr>
          <w:p w14:paraId="01CF0E91" w14:textId="77777777" w:rsidR="00EA3DF9" w:rsidRPr="00712D2C" w:rsidRDefault="00EA3DF9" w:rsidP="00A6760A">
            <w:pPr>
              <w:spacing w:after="0" w:line="240" w:lineRule="auto"/>
              <w:jc w:val="center"/>
              <w:rPr>
                <w:rFonts w:ascii="Verdana" w:eastAsia="Times New Roman" w:hAnsi="Verdana" w:cs="Arial"/>
                <w:b/>
                <w:bCs/>
                <w:color w:val="000000"/>
                <w:sz w:val="20"/>
                <w:szCs w:val="20"/>
                <w:lang w:eastAsia="es-CO"/>
              </w:rPr>
            </w:pPr>
            <w:r w:rsidRPr="00712D2C">
              <w:rPr>
                <w:rFonts w:ascii="Verdana" w:eastAsia="Times New Roman" w:hAnsi="Verdana" w:cs="Arial"/>
                <w:b/>
                <w:bCs/>
                <w:color w:val="000000"/>
                <w:sz w:val="20"/>
                <w:szCs w:val="20"/>
                <w:lang w:eastAsia="es-CO"/>
              </w:rPr>
              <w:t>Detalle</w:t>
            </w:r>
          </w:p>
        </w:tc>
        <w:tc>
          <w:tcPr>
            <w:tcW w:w="1443" w:type="dxa"/>
            <w:vMerge w:val="restart"/>
            <w:shd w:val="clear" w:color="auto" w:fill="F2F2F2" w:themeFill="background1" w:themeFillShade="F2"/>
            <w:vAlign w:val="center"/>
            <w:hideMark/>
          </w:tcPr>
          <w:p w14:paraId="7F6E7756" w14:textId="77777777" w:rsidR="00EA3DF9" w:rsidRPr="00712D2C" w:rsidRDefault="00EA3DF9" w:rsidP="00A6760A">
            <w:pPr>
              <w:spacing w:after="0" w:line="240" w:lineRule="auto"/>
              <w:jc w:val="center"/>
              <w:rPr>
                <w:rFonts w:ascii="Verdana" w:eastAsia="Times New Roman" w:hAnsi="Verdana" w:cs="Arial"/>
                <w:b/>
                <w:bCs/>
                <w:sz w:val="20"/>
                <w:szCs w:val="20"/>
                <w:lang w:eastAsia="es-CO"/>
              </w:rPr>
            </w:pPr>
            <w:r w:rsidRPr="00712D2C">
              <w:rPr>
                <w:rFonts w:ascii="Verdana" w:eastAsia="Times New Roman" w:hAnsi="Verdana" w:cs="Arial"/>
                <w:b/>
                <w:bCs/>
                <w:sz w:val="20"/>
                <w:szCs w:val="20"/>
                <w:lang w:eastAsia="es-CO"/>
              </w:rPr>
              <w:t>Fecha inicio</w:t>
            </w:r>
          </w:p>
        </w:tc>
        <w:tc>
          <w:tcPr>
            <w:tcW w:w="1275" w:type="dxa"/>
            <w:vMerge w:val="restart"/>
            <w:shd w:val="clear" w:color="auto" w:fill="F2F2F2" w:themeFill="background1" w:themeFillShade="F2"/>
            <w:vAlign w:val="center"/>
            <w:hideMark/>
          </w:tcPr>
          <w:p w14:paraId="4BE513F5" w14:textId="77777777" w:rsidR="00EA3DF9" w:rsidRPr="00712D2C" w:rsidRDefault="00EA3DF9" w:rsidP="00A6760A">
            <w:pPr>
              <w:spacing w:after="0" w:line="240" w:lineRule="auto"/>
              <w:jc w:val="center"/>
              <w:rPr>
                <w:rFonts w:ascii="Verdana" w:eastAsia="Times New Roman" w:hAnsi="Verdana" w:cs="Arial"/>
                <w:b/>
                <w:bCs/>
                <w:sz w:val="20"/>
                <w:szCs w:val="20"/>
                <w:lang w:eastAsia="es-CO"/>
              </w:rPr>
            </w:pPr>
            <w:r w:rsidRPr="00712D2C">
              <w:rPr>
                <w:rFonts w:ascii="Verdana" w:eastAsia="Times New Roman" w:hAnsi="Verdana" w:cs="Arial"/>
                <w:b/>
                <w:bCs/>
                <w:sz w:val="20"/>
                <w:szCs w:val="20"/>
                <w:lang w:eastAsia="es-CO"/>
              </w:rPr>
              <w:t>Fecha fin</w:t>
            </w:r>
          </w:p>
        </w:tc>
      </w:tr>
      <w:tr w:rsidR="00EA3DF9" w:rsidRPr="00712D2C" w14:paraId="5070B8F1" w14:textId="77777777" w:rsidTr="00597522">
        <w:trPr>
          <w:trHeight w:val="458"/>
          <w:tblHeader/>
          <w:jc w:val="center"/>
        </w:trPr>
        <w:tc>
          <w:tcPr>
            <w:tcW w:w="753" w:type="dxa"/>
            <w:vMerge/>
            <w:vAlign w:val="center"/>
            <w:hideMark/>
          </w:tcPr>
          <w:p w14:paraId="3A322DFD" w14:textId="77777777" w:rsidR="00EA3DF9" w:rsidRPr="00712D2C" w:rsidRDefault="00EA3DF9" w:rsidP="00A6760A">
            <w:pPr>
              <w:spacing w:after="0" w:line="240" w:lineRule="auto"/>
              <w:rPr>
                <w:rFonts w:ascii="Verdana" w:eastAsia="Times New Roman" w:hAnsi="Verdana" w:cs="Arial"/>
                <w:b/>
                <w:bCs/>
                <w:sz w:val="20"/>
                <w:szCs w:val="20"/>
                <w:lang w:eastAsia="es-CO"/>
              </w:rPr>
            </w:pPr>
          </w:p>
        </w:tc>
        <w:tc>
          <w:tcPr>
            <w:tcW w:w="2503" w:type="dxa"/>
            <w:vMerge/>
            <w:vAlign w:val="center"/>
            <w:hideMark/>
          </w:tcPr>
          <w:p w14:paraId="321B03E0" w14:textId="77777777" w:rsidR="00EA3DF9" w:rsidRPr="00712D2C" w:rsidRDefault="00EA3DF9" w:rsidP="00A6760A">
            <w:pPr>
              <w:spacing w:after="0" w:line="240" w:lineRule="auto"/>
              <w:rPr>
                <w:rFonts w:ascii="Verdana" w:eastAsia="Times New Roman" w:hAnsi="Verdana" w:cs="Arial"/>
                <w:b/>
                <w:bCs/>
                <w:sz w:val="20"/>
                <w:szCs w:val="20"/>
                <w:lang w:eastAsia="es-CO"/>
              </w:rPr>
            </w:pPr>
          </w:p>
        </w:tc>
        <w:tc>
          <w:tcPr>
            <w:tcW w:w="2526" w:type="dxa"/>
            <w:vMerge/>
            <w:vAlign w:val="center"/>
            <w:hideMark/>
          </w:tcPr>
          <w:p w14:paraId="51706E5B" w14:textId="77777777" w:rsidR="00EA3DF9" w:rsidRPr="00712D2C" w:rsidRDefault="00EA3DF9" w:rsidP="00A6760A">
            <w:pPr>
              <w:spacing w:after="0" w:line="240" w:lineRule="auto"/>
              <w:rPr>
                <w:rFonts w:ascii="Verdana" w:eastAsia="Times New Roman" w:hAnsi="Verdana" w:cs="Arial"/>
                <w:b/>
                <w:bCs/>
                <w:color w:val="000000"/>
                <w:sz w:val="20"/>
                <w:szCs w:val="20"/>
                <w:lang w:eastAsia="es-CO"/>
              </w:rPr>
            </w:pPr>
          </w:p>
        </w:tc>
        <w:tc>
          <w:tcPr>
            <w:tcW w:w="1443" w:type="dxa"/>
            <w:vMerge/>
            <w:vAlign w:val="center"/>
            <w:hideMark/>
          </w:tcPr>
          <w:p w14:paraId="61468BEC" w14:textId="77777777" w:rsidR="00EA3DF9" w:rsidRPr="00712D2C" w:rsidRDefault="00EA3DF9" w:rsidP="00A6760A">
            <w:pPr>
              <w:spacing w:after="0" w:line="240" w:lineRule="auto"/>
              <w:rPr>
                <w:rFonts w:ascii="Verdana" w:eastAsia="Times New Roman" w:hAnsi="Verdana" w:cs="Arial"/>
                <w:b/>
                <w:bCs/>
                <w:sz w:val="20"/>
                <w:szCs w:val="20"/>
                <w:lang w:eastAsia="es-CO"/>
              </w:rPr>
            </w:pPr>
          </w:p>
        </w:tc>
        <w:tc>
          <w:tcPr>
            <w:tcW w:w="1275" w:type="dxa"/>
            <w:vMerge/>
            <w:vAlign w:val="center"/>
            <w:hideMark/>
          </w:tcPr>
          <w:p w14:paraId="6A72C808" w14:textId="77777777" w:rsidR="00EA3DF9" w:rsidRPr="00712D2C" w:rsidRDefault="00EA3DF9" w:rsidP="00A6760A">
            <w:pPr>
              <w:spacing w:after="0" w:line="240" w:lineRule="auto"/>
              <w:rPr>
                <w:rFonts w:ascii="Verdana" w:eastAsia="Times New Roman" w:hAnsi="Verdana" w:cs="Arial"/>
                <w:b/>
                <w:bCs/>
                <w:sz w:val="20"/>
                <w:szCs w:val="20"/>
                <w:lang w:eastAsia="es-CO"/>
              </w:rPr>
            </w:pPr>
          </w:p>
        </w:tc>
      </w:tr>
      <w:tr w:rsidR="00EA3DF9" w:rsidRPr="00712D2C" w14:paraId="2174E7B3" w14:textId="77777777" w:rsidTr="00597522">
        <w:trPr>
          <w:trHeight w:val="1909"/>
          <w:jc w:val="center"/>
        </w:trPr>
        <w:tc>
          <w:tcPr>
            <w:tcW w:w="753" w:type="dxa"/>
            <w:shd w:val="clear" w:color="auto" w:fill="auto"/>
            <w:noWrap/>
            <w:vAlign w:val="center"/>
            <w:hideMark/>
          </w:tcPr>
          <w:p w14:paraId="0F73CDD2"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1</w:t>
            </w:r>
          </w:p>
        </w:tc>
        <w:tc>
          <w:tcPr>
            <w:tcW w:w="2503" w:type="dxa"/>
            <w:shd w:val="clear" w:color="auto" w:fill="auto"/>
            <w:vAlign w:val="center"/>
            <w:hideMark/>
          </w:tcPr>
          <w:p w14:paraId="68ABA3B7" w14:textId="217F0D76" w:rsidR="00EA3DF9" w:rsidRPr="00712D2C" w:rsidRDefault="004A413E"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Investigación preliminar del alcance de la modificación</w:t>
            </w:r>
          </w:p>
        </w:tc>
        <w:tc>
          <w:tcPr>
            <w:tcW w:w="2526" w:type="dxa"/>
            <w:shd w:val="clear" w:color="auto" w:fill="auto"/>
            <w:vAlign w:val="center"/>
            <w:hideMark/>
          </w:tcPr>
          <w:p w14:paraId="1BB486B0" w14:textId="4B01E3D6" w:rsidR="00EA3DF9" w:rsidRPr="00712D2C" w:rsidRDefault="004A413E"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Análisis de la modificación normativa por la cual se ajusta el contenido de los Documentos Tipo</w:t>
            </w:r>
          </w:p>
        </w:tc>
        <w:tc>
          <w:tcPr>
            <w:tcW w:w="1443" w:type="dxa"/>
            <w:shd w:val="clear" w:color="auto" w:fill="auto"/>
            <w:noWrap/>
            <w:vAlign w:val="center"/>
            <w:hideMark/>
          </w:tcPr>
          <w:p w14:paraId="779FD44B" w14:textId="158A0886" w:rsidR="00EA3DF9" w:rsidRPr="00712D2C" w:rsidRDefault="00417EF0"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06/09/2024</w:t>
            </w:r>
          </w:p>
        </w:tc>
        <w:tc>
          <w:tcPr>
            <w:tcW w:w="1275" w:type="dxa"/>
            <w:shd w:val="clear" w:color="auto" w:fill="auto"/>
            <w:noWrap/>
            <w:vAlign w:val="center"/>
            <w:hideMark/>
          </w:tcPr>
          <w:p w14:paraId="49A03097" w14:textId="026AC461" w:rsidR="00EA3DF9" w:rsidRPr="00712D2C" w:rsidRDefault="00F12CE7" w:rsidP="00417EF0">
            <w:pPr>
              <w:spacing w:after="0" w:line="240" w:lineRule="auto"/>
              <w:rPr>
                <w:rFonts w:ascii="Verdana" w:eastAsia="Times New Roman" w:hAnsi="Verdana" w:cs="Arial"/>
                <w:sz w:val="20"/>
                <w:szCs w:val="20"/>
                <w:lang w:eastAsia="es-CO"/>
              </w:rPr>
            </w:pPr>
            <w:r w:rsidRPr="00712D2C">
              <w:rPr>
                <w:rFonts w:ascii="Verdana" w:eastAsia="Times New Roman" w:hAnsi="Verdana" w:cs="Arial"/>
                <w:sz w:val="20"/>
                <w:szCs w:val="20"/>
                <w:lang w:eastAsia="es-CO"/>
              </w:rPr>
              <w:t>06/10/2024</w:t>
            </w:r>
          </w:p>
        </w:tc>
      </w:tr>
      <w:tr w:rsidR="00EA3DF9" w:rsidRPr="00712D2C" w14:paraId="7A2A8D72" w14:textId="77777777" w:rsidTr="00597522">
        <w:trPr>
          <w:trHeight w:val="1643"/>
          <w:jc w:val="center"/>
        </w:trPr>
        <w:tc>
          <w:tcPr>
            <w:tcW w:w="753" w:type="dxa"/>
            <w:shd w:val="clear" w:color="auto" w:fill="auto"/>
            <w:noWrap/>
            <w:vAlign w:val="center"/>
          </w:tcPr>
          <w:p w14:paraId="1CE98583"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2</w:t>
            </w:r>
          </w:p>
        </w:tc>
        <w:tc>
          <w:tcPr>
            <w:tcW w:w="2503" w:type="dxa"/>
            <w:shd w:val="clear" w:color="auto" w:fill="auto"/>
            <w:vAlign w:val="center"/>
          </w:tcPr>
          <w:p w14:paraId="45B3B101" w14:textId="3DF91AD4" w:rsidR="00EA3DF9" w:rsidRPr="00712D2C" w:rsidRDefault="00143FD9"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Elaboración Informe sobre hallazgos y conclusiones desde el aspecto técnico y jurídico</w:t>
            </w:r>
          </w:p>
        </w:tc>
        <w:tc>
          <w:tcPr>
            <w:tcW w:w="2526" w:type="dxa"/>
            <w:shd w:val="clear" w:color="auto" w:fill="auto"/>
            <w:vAlign w:val="center"/>
          </w:tcPr>
          <w:p w14:paraId="0F329514" w14:textId="77777777"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Documento de elaboración conjunta por parte de los profesionales encargados de la revisión y análisis de los documentos tipo, en formato de informe, con el siguiente contenido:</w:t>
            </w:r>
          </w:p>
          <w:p w14:paraId="47D18FD0" w14:textId="77777777" w:rsidR="00FC752A" w:rsidRPr="00712D2C" w:rsidRDefault="00FC752A" w:rsidP="00FC752A">
            <w:pPr>
              <w:spacing w:after="0" w:line="240" w:lineRule="auto"/>
              <w:jc w:val="both"/>
              <w:rPr>
                <w:rFonts w:ascii="Verdana" w:eastAsia="Times New Roman" w:hAnsi="Verdana" w:cs="Arial"/>
                <w:sz w:val="20"/>
                <w:szCs w:val="20"/>
                <w:lang w:eastAsia="es-CO"/>
              </w:rPr>
            </w:pPr>
          </w:p>
          <w:p w14:paraId="228DDADD" w14:textId="77777777"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 Motivo que suscita el o los ajustes</w:t>
            </w:r>
          </w:p>
          <w:p w14:paraId="37120569" w14:textId="77777777"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 Detalles de las razones que justifican la modificación</w:t>
            </w:r>
          </w:p>
          <w:p w14:paraId="49665EAB" w14:textId="77777777"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 Análisis integral de viabilidad técnica, jurídica y financiera</w:t>
            </w:r>
          </w:p>
          <w:p w14:paraId="774A9192" w14:textId="77777777"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 Razones de Oportunidad y Conveniencia</w:t>
            </w:r>
          </w:p>
          <w:p w14:paraId="38FFAB16" w14:textId="02BF8AE0" w:rsidR="00FC752A" w:rsidRPr="00712D2C" w:rsidRDefault="00FC752A" w:rsidP="00FC752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 Razones de hecho y de derecho que justifican la modificación</w:t>
            </w:r>
          </w:p>
          <w:p w14:paraId="199A58F8" w14:textId="6F2F38A3" w:rsidR="00EA3DF9" w:rsidRPr="00712D2C" w:rsidRDefault="00EA3DF9" w:rsidP="006F3AF3">
            <w:pPr>
              <w:spacing w:after="0" w:line="240" w:lineRule="auto"/>
              <w:jc w:val="both"/>
              <w:rPr>
                <w:rFonts w:ascii="Verdana" w:eastAsia="Times New Roman" w:hAnsi="Verdana" w:cs="Arial"/>
                <w:sz w:val="20"/>
                <w:szCs w:val="20"/>
                <w:lang w:eastAsia="es-CO"/>
              </w:rPr>
            </w:pPr>
          </w:p>
        </w:tc>
        <w:tc>
          <w:tcPr>
            <w:tcW w:w="1443" w:type="dxa"/>
            <w:shd w:val="clear" w:color="auto" w:fill="auto"/>
            <w:noWrap/>
            <w:vAlign w:val="center"/>
          </w:tcPr>
          <w:p w14:paraId="5153E142" w14:textId="55DA9015" w:rsidR="00EA3DF9" w:rsidRPr="00712D2C" w:rsidRDefault="00081181"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25/09</w:t>
            </w:r>
            <w:r w:rsidR="002730C1" w:rsidRPr="00712D2C">
              <w:rPr>
                <w:rFonts w:ascii="Verdana" w:eastAsia="Times New Roman" w:hAnsi="Verdana" w:cs="Arial"/>
                <w:sz w:val="20"/>
                <w:szCs w:val="20"/>
                <w:lang w:eastAsia="es-CO"/>
              </w:rPr>
              <w:t>/2024</w:t>
            </w:r>
          </w:p>
        </w:tc>
        <w:tc>
          <w:tcPr>
            <w:tcW w:w="1275" w:type="dxa"/>
            <w:shd w:val="clear" w:color="auto" w:fill="auto"/>
            <w:noWrap/>
            <w:vAlign w:val="center"/>
          </w:tcPr>
          <w:p w14:paraId="19F57F8A" w14:textId="1FE0B240" w:rsidR="00EA3DF9" w:rsidRPr="00712D2C" w:rsidRDefault="00081181"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10</w:t>
            </w:r>
            <w:r w:rsidR="002730C1" w:rsidRPr="00712D2C">
              <w:rPr>
                <w:rFonts w:ascii="Verdana" w:eastAsia="Times New Roman" w:hAnsi="Verdana" w:cs="Arial"/>
                <w:sz w:val="20"/>
                <w:szCs w:val="20"/>
                <w:lang w:eastAsia="es-CO"/>
              </w:rPr>
              <w:t>/</w:t>
            </w:r>
            <w:r w:rsidRPr="00712D2C">
              <w:rPr>
                <w:rFonts w:ascii="Verdana" w:eastAsia="Times New Roman" w:hAnsi="Verdana" w:cs="Arial"/>
                <w:sz w:val="20"/>
                <w:szCs w:val="20"/>
                <w:lang w:eastAsia="es-CO"/>
              </w:rPr>
              <w:t>10</w:t>
            </w:r>
            <w:r w:rsidR="002730C1" w:rsidRPr="00712D2C">
              <w:rPr>
                <w:rFonts w:ascii="Verdana" w:eastAsia="Times New Roman" w:hAnsi="Verdana" w:cs="Arial"/>
                <w:sz w:val="20"/>
                <w:szCs w:val="20"/>
                <w:lang w:eastAsia="es-CO"/>
              </w:rPr>
              <w:t>/2024</w:t>
            </w:r>
          </w:p>
        </w:tc>
      </w:tr>
      <w:tr w:rsidR="00EA3DF9" w:rsidRPr="00712D2C" w14:paraId="72E2217C" w14:textId="77777777" w:rsidTr="00597522">
        <w:trPr>
          <w:trHeight w:val="1643"/>
          <w:jc w:val="center"/>
        </w:trPr>
        <w:tc>
          <w:tcPr>
            <w:tcW w:w="753" w:type="dxa"/>
            <w:shd w:val="clear" w:color="auto" w:fill="auto"/>
            <w:noWrap/>
            <w:vAlign w:val="center"/>
            <w:hideMark/>
          </w:tcPr>
          <w:p w14:paraId="4D815715"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lastRenderedPageBreak/>
              <w:t>3</w:t>
            </w:r>
          </w:p>
        </w:tc>
        <w:tc>
          <w:tcPr>
            <w:tcW w:w="2503" w:type="dxa"/>
            <w:shd w:val="clear" w:color="auto" w:fill="auto"/>
            <w:vAlign w:val="center"/>
            <w:hideMark/>
          </w:tcPr>
          <w:p w14:paraId="75F6A674" w14:textId="0C55794C" w:rsidR="00EA3DF9" w:rsidRPr="00712D2C" w:rsidRDefault="00F3038D"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Estructuración de la modificación a los Documentos Tipo</w:t>
            </w:r>
          </w:p>
        </w:tc>
        <w:tc>
          <w:tcPr>
            <w:tcW w:w="2526" w:type="dxa"/>
            <w:shd w:val="clear" w:color="auto" w:fill="auto"/>
            <w:vAlign w:val="center"/>
            <w:hideMark/>
          </w:tcPr>
          <w:p w14:paraId="125CAA94" w14:textId="5CEDF97A" w:rsidR="00EA3DF9" w:rsidRPr="00712D2C" w:rsidRDefault="00F62A8C"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Estructurar la primera versión de modificación a los documentos tipo de infraestructura de transporte,</w:t>
            </w:r>
            <w:r w:rsidR="0014180F" w:rsidRPr="00712D2C">
              <w:rPr>
                <w:rFonts w:ascii="Verdana" w:eastAsia="Times New Roman" w:hAnsi="Verdana" w:cs="Arial"/>
                <w:sz w:val="20"/>
                <w:szCs w:val="20"/>
                <w:lang w:eastAsia="es-CO"/>
              </w:rPr>
              <w:t xml:space="preserve"> </w:t>
            </w:r>
            <w:r w:rsidRPr="00712D2C">
              <w:rPr>
                <w:rFonts w:ascii="Verdana" w:eastAsia="Times New Roman" w:hAnsi="Verdana" w:cs="Arial"/>
                <w:sz w:val="20"/>
                <w:szCs w:val="20"/>
                <w:lang w:eastAsia="es-CO"/>
              </w:rPr>
              <w:t>de acuerdo con el análisis del Decreto [Incluir la nueva norma que ajusta el contenido de los Documentos Tipo]</w:t>
            </w:r>
          </w:p>
        </w:tc>
        <w:tc>
          <w:tcPr>
            <w:tcW w:w="1443" w:type="dxa"/>
            <w:shd w:val="clear" w:color="auto" w:fill="auto"/>
            <w:noWrap/>
            <w:vAlign w:val="center"/>
            <w:hideMark/>
          </w:tcPr>
          <w:p w14:paraId="08089BC1" w14:textId="13DEF707" w:rsidR="00EA3DF9" w:rsidRPr="00712D2C" w:rsidRDefault="00032400"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25/09</w:t>
            </w:r>
            <w:r w:rsidR="00AC0345" w:rsidRPr="00712D2C">
              <w:rPr>
                <w:rFonts w:ascii="Verdana" w:eastAsia="Times New Roman" w:hAnsi="Verdana" w:cs="Arial"/>
                <w:sz w:val="20"/>
                <w:szCs w:val="20"/>
                <w:lang w:eastAsia="es-CO"/>
              </w:rPr>
              <w:t>/2024</w:t>
            </w:r>
          </w:p>
        </w:tc>
        <w:tc>
          <w:tcPr>
            <w:tcW w:w="1275" w:type="dxa"/>
            <w:shd w:val="clear" w:color="auto" w:fill="auto"/>
            <w:noWrap/>
            <w:vAlign w:val="center"/>
            <w:hideMark/>
          </w:tcPr>
          <w:p w14:paraId="4D4BE021" w14:textId="1EEF4EEB" w:rsidR="00EA3DF9" w:rsidRPr="00712D2C" w:rsidRDefault="00032400"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10/10</w:t>
            </w:r>
            <w:r w:rsidR="00AC0345" w:rsidRPr="00712D2C">
              <w:rPr>
                <w:rFonts w:ascii="Verdana" w:eastAsia="Times New Roman" w:hAnsi="Verdana" w:cs="Arial"/>
                <w:sz w:val="20"/>
                <w:szCs w:val="20"/>
                <w:lang w:eastAsia="es-CO"/>
              </w:rPr>
              <w:t>/2024</w:t>
            </w:r>
          </w:p>
        </w:tc>
      </w:tr>
      <w:tr w:rsidR="00EA3DF9" w:rsidRPr="00712D2C" w14:paraId="0379FAA3" w14:textId="77777777" w:rsidTr="00597522">
        <w:trPr>
          <w:trHeight w:val="664"/>
          <w:jc w:val="center"/>
        </w:trPr>
        <w:tc>
          <w:tcPr>
            <w:tcW w:w="753" w:type="dxa"/>
            <w:shd w:val="clear" w:color="auto" w:fill="auto"/>
            <w:noWrap/>
            <w:vAlign w:val="center"/>
          </w:tcPr>
          <w:p w14:paraId="682B8788"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4</w:t>
            </w:r>
          </w:p>
        </w:tc>
        <w:tc>
          <w:tcPr>
            <w:tcW w:w="2503" w:type="dxa"/>
            <w:shd w:val="clear" w:color="auto" w:fill="auto"/>
            <w:vAlign w:val="center"/>
          </w:tcPr>
          <w:p w14:paraId="68FB656A" w14:textId="21659BF6" w:rsidR="00EA3DF9" w:rsidRPr="00712D2C" w:rsidRDefault="00AF0A58"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Elaboración del proyecto de resolución y la memoria justificativa- soporte técnico que justifica la modificación de los documentos tipo</w:t>
            </w:r>
          </w:p>
        </w:tc>
        <w:tc>
          <w:tcPr>
            <w:tcW w:w="2526" w:type="dxa"/>
            <w:shd w:val="clear" w:color="auto" w:fill="auto"/>
            <w:vAlign w:val="center"/>
          </w:tcPr>
          <w:p w14:paraId="0F6E7AC3" w14:textId="65E1A674" w:rsidR="00EA3DF9" w:rsidRPr="00712D2C" w:rsidRDefault="00F03A96"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Estructurar la memoria justificativa y la resolución a partir de la cual se justifica la necesidad de modificar los documentos tipo existentes con ocasión a la expedición del XXXXXXX</w:t>
            </w:r>
          </w:p>
        </w:tc>
        <w:tc>
          <w:tcPr>
            <w:tcW w:w="1443" w:type="dxa"/>
            <w:shd w:val="clear" w:color="auto" w:fill="auto"/>
            <w:noWrap/>
            <w:vAlign w:val="center"/>
          </w:tcPr>
          <w:p w14:paraId="1C6849DB" w14:textId="2AD496E4" w:rsidR="00EA3DF9" w:rsidRPr="00712D2C" w:rsidRDefault="00F03A96" w:rsidP="00F03A96">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25/09/2024</w:t>
            </w:r>
          </w:p>
        </w:tc>
        <w:tc>
          <w:tcPr>
            <w:tcW w:w="1275" w:type="dxa"/>
            <w:shd w:val="clear" w:color="auto" w:fill="auto"/>
            <w:noWrap/>
            <w:vAlign w:val="center"/>
          </w:tcPr>
          <w:p w14:paraId="67E6272E" w14:textId="569D46E0" w:rsidR="00EA3DF9" w:rsidRPr="00712D2C" w:rsidRDefault="00F03A96"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10/10/2024</w:t>
            </w:r>
          </w:p>
        </w:tc>
      </w:tr>
      <w:tr w:rsidR="00EA3DF9" w:rsidRPr="00712D2C" w14:paraId="6485DA6F" w14:textId="77777777" w:rsidTr="00597522">
        <w:trPr>
          <w:trHeight w:val="1252"/>
          <w:jc w:val="center"/>
        </w:trPr>
        <w:tc>
          <w:tcPr>
            <w:tcW w:w="753" w:type="dxa"/>
            <w:shd w:val="clear" w:color="auto" w:fill="auto"/>
            <w:noWrap/>
            <w:vAlign w:val="center"/>
            <w:hideMark/>
          </w:tcPr>
          <w:p w14:paraId="7990FA68"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5</w:t>
            </w:r>
          </w:p>
        </w:tc>
        <w:tc>
          <w:tcPr>
            <w:tcW w:w="2503" w:type="dxa"/>
            <w:shd w:val="clear" w:color="auto" w:fill="auto"/>
            <w:vAlign w:val="center"/>
            <w:hideMark/>
          </w:tcPr>
          <w:p w14:paraId="49E354A7" w14:textId="4AC14463" w:rsidR="00EA3DF9" w:rsidRPr="00712D2C" w:rsidRDefault="0019457D"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Instalación de mesas de trabajo para recibir insumos de las entidades técnicas o especializadas para recibir retroalimentación frente a la propuesta planteada a la modificación a los documentos tipo existentes</w:t>
            </w:r>
          </w:p>
        </w:tc>
        <w:tc>
          <w:tcPr>
            <w:tcW w:w="2526" w:type="dxa"/>
            <w:shd w:val="clear" w:color="auto" w:fill="auto"/>
            <w:vAlign w:val="center"/>
            <w:hideMark/>
          </w:tcPr>
          <w:p w14:paraId="313361A9" w14:textId="427183D7" w:rsidR="00EA3DF9" w:rsidRPr="00712D2C" w:rsidRDefault="009D675A"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Instalación de mesas de trabajo para recibir insumos de las entidades técnicas o especializadas para recibir retroalimentación frente a la propuesta planteada a la modificación a los documentos tipo existentes</w:t>
            </w:r>
          </w:p>
        </w:tc>
        <w:tc>
          <w:tcPr>
            <w:tcW w:w="1443" w:type="dxa"/>
            <w:shd w:val="clear" w:color="auto" w:fill="auto"/>
            <w:noWrap/>
            <w:vAlign w:val="center"/>
            <w:hideMark/>
          </w:tcPr>
          <w:p w14:paraId="1B3665D1" w14:textId="086D00E0" w:rsidR="00EA3DF9" w:rsidRPr="00712D2C" w:rsidRDefault="009D675A"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25/09/2024</w:t>
            </w:r>
          </w:p>
        </w:tc>
        <w:tc>
          <w:tcPr>
            <w:tcW w:w="1275" w:type="dxa"/>
            <w:shd w:val="clear" w:color="auto" w:fill="auto"/>
            <w:noWrap/>
            <w:vAlign w:val="center"/>
            <w:hideMark/>
          </w:tcPr>
          <w:p w14:paraId="10ECB91A" w14:textId="653D7797" w:rsidR="00EA3DF9" w:rsidRPr="00712D2C" w:rsidRDefault="00A67802" w:rsidP="00A6760A">
            <w:pPr>
              <w:spacing w:after="0" w:line="240" w:lineRule="auto"/>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13/10/</w:t>
            </w:r>
            <w:r w:rsidR="00F85FBF" w:rsidRPr="00712D2C">
              <w:rPr>
                <w:rFonts w:ascii="Verdana" w:eastAsia="Times New Roman" w:hAnsi="Verdana" w:cs="Arial"/>
                <w:sz w:val="20"/>
                <w:szCs w:val="20"/>
                <w:lang w:eastAsia="es-CO"/>
              </w:rPr>
              <w:t>2024</w:t>
            </w:r>
          </w:p>
        </w:tc>
      </w:tr>
      <w:tr w:rsidR="00EA3DF9" w:rsidRPr="00712D2C" w14:paraId="0A593E17" w14:textId="77777777" w:rsidTr="00597522">
        <w:trPr>
          <w:trHeight w:val="26"/>
          <w:jc w:val="center"/>
        </w:trPr>
        <w:tc>
          <w:tcPr>
            <w:tcW w:w="753" w:type="dxa"/>
            <w:shd w:val="clear" w:color="auto" w:fill="auto"/>
            <w:noWrap/>
            <w:vAlign w:val="center"/>
          </w:tcPr>
          <w:p w14:paraId="7E19B2CE" w14:textId="77777777" w:rsidR="00EA3DF9" w:rsidRPr="00712D2C" w:rsidRDefault="00EA3DF9"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6</w:t>
            </w:r>
          </w:p>
        </w:tc>
        <w:tc>
          <w:tcPr>
            <w:tcW w:w="2503" w:type="dxa"/>
            <w:shd w:val="clear" w:color="auto" w:fill="auto"/>
            <w:vAlign w:val="center"/>
          </w:tcPr>
          <w:p w14:paraId="3AED8AE9" w14:textId="0C2BDA21" w:rsidR="00EA3DF9" w:rsidRPr="00712D2C" w:rsidRDefault="00A67802"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Respuesta a las observaciones presentadas por las entidades técnicas y especializadas</w:t>
            </w:r>
          </w:p>
        </w:tc>
        <w:tc>
          <w:tcPr>
            <w:tcW w:w="2526" w:type="dxa"/>
            <w:shd w:val="clear" w:color="auto" w:fill="auto"/>
            <w:vAlign w:val="center"/>
          </w:tcPr>
          <w:p w14:paraId="45F6F312" w14:textId="0B79DB83" w:rsidR="00EA3DF9" w:rsidRPr="00712D2C" w:rsidRDefault="00C90ABB"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Generar respuesta a las observaciones presentadas por las entidades técnicas y especializadas y realizar ajustes a la propuesta de modificación</w:t>
            </w:r>
            <w:r w:rsidR="00941AC5" w:rsidRPr="00712D2C">
              <w:rPr>
                <w:rFonts w:ascii="Verdana" w:eastAsia="Times New Roman" w:hAnsi="Verdana" w:cs="Arial"/>
                <w:color w:val="000000"/>
                <w:sz w:val="20"/>
                <w:szCs w:val="20"/>
                <w:lang w:eastAsia="es-CO"/>
              </w:rPr>
              <w:t xml:space="preserve"> </w:t>
            </w:r>
            <w:r w:rsidR="001F44A0" w:rsidRPr="00712D2C">
              <w:rPr>
                <w:rFonts w:ascii="Verdana" w:eastAsia="Times New Roman" w:hAnsi="Verdana" w:cs="Arial"/>
                <w:color w:val="000000"/>
                <w:sz w:val="20"/>
                <w:szCs w:val="20"/>
                <w:lang w:eastAsia="es-CO"/>
              </w:rPr>
              <w:t>de los documentos tipo</w:t>
            </w:r>
          </w:p>
        </w:tc>
        <w:tc>
          <w:tcPr>
            <w:tcW w:w="1443" w:type="dxa"/>
            <w:shd w:val="clear" w:color="auto" w:fill="auto"/>
            <w:noWrap/>
            <w:vAlign w:val="center"/>
          </w:tcPr>
          <w:p w14:paraId="2DD7DEFE" w14:textId="2093BC56" w:rsidR="00EA3DF9" w:rsidRPr="00712D2C" w:rsidRDefault="00941AC5" w:rsidP="00A6760A">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01</w:t>
            </w:r>
            <w:r w:rsidR="00C30B47" w:rsidRPr="00712D2C">
              <w:rPr>
                <w:rFonts w:ascii="Verdana" w:eastAsia="Times New Roman" w:hAnsi="Verdana" w:cs="Arial"/>
                <w:sz w:val="20"/>
                <w:szCs w:val="20"/>
                <w:lang w:eastAsia="es-CO"/>
              </w:rPr>
              <w:t>/</w:t>
            </w:r>
            <w:r w:rsidRPr="00712D2C">
              <w:rPr>
                <w:rFonts w:ascii="Verdana" w:eastAsia="Times New Roman" w:hAnsi="Verdana" w:cs="Arial"/>
                <w:sz w:val="20"/>
                <w:szCs w:val="20"/>
                <w:lang w:eastAsia="es-CO"/>
              </w:rPr>
              <w:t>10</w:t>
            </w:r>
            <w:r w:rsidR="00C30B47" w:rsidRPr="00712D2C">
              <w:rPr>
                <w:rFonts w:ascii="Verdana" w:eastAsia="Times New Roman" w:hAnsi="Verdana" w:cs="Arial"/>
                <w:sz w:val="20"/>
                <w:szCs w:val="20"/>
                <w:lang w:eastAsia="es-CO"/>
              </w:rPr>
              <w:t>/2024</w:t>
            </w:r>
          </w:p>
        </w:tc>
        <w:tc>
          <w:tcPr>
            <w:tcW w:w="1275" w:type="dxa"/>
            <w:shd w:val="clear" w:color="auto" w:fill="auto"/>
            <w:vAlign w:val="center"/>
          </w:tcPr>
          <w:p w14:paraId="4D928DDD" w14:textId="39AE0197" w:rsidR="00EA3DF9" w:rsidRPr="00712D2C" w:rsidRDefault="00941AC5" w:rsidP="00A6760A">
            <w:pPr>
              <w:rPr>
                <w:rFonts w:ascii="Verdana" w:eastAsia="Times New Roman" w:hAnsi="Verdana" w:cs="Arial"/>
                <w:sz w:val="20"/>
                <w:szCs w:val="20"/>
                <w:lang w:eastAsia="es-CO"/>
              </w:rPr>
            </w:pPr>
            <w:r w:rsidRPr="00712D2C">
              <w:rPr>
                <w:rFonts w:ascii="Verdana" w:eastAsia="Times New Roman" w:hAnsi="Verdana" w:cs="Arial"/>
                <w:sz w:val="20"/>
                <w:szCs w:val="20"/>
                <w:lang w:eastAsia="es-CO"/>
              </w:rPr>
              <w:t>16</w:t>
            </w:r>
            <w:r w:rsidR="004957F2" w:rsidRPr="00712D2C">
              <w:rPr>
                <w:rFonts w:ascii="Verdana" w:eastAsia="Times New Roman" w:hAnsi="Verdana" w:cs="Arial"/>
                <w:sz w:val="20"/>
                <w:szCs w:val="20"/>
                <w:lang w:eastAsia="es-CO"/>
              </w:rPr>
              <w:t>/</w:t>
            </w:r>
            <w:r w:rsidRPr="00712D2C">
              <w:rPr>
                <w:rFonts w:ascii="Verdana" w:eastAsia="Times New Roman" w:hAnsi="Verdana" w:cs="Arial"/>
                <w:sz w:val="20"/>
                <w:szCs w:val="20"/>
                <w:lang w:eastAsia="es-CO"/>
              </w:rPr>
              <w:t>10</w:t>
            </w:r>
            <w:r w:rsidR="004957F2" w:rsidRPr="00712D2C">
              <w:rPr>
                <w:rFonts w:ascii="Verdana" w:eastAsia="Times New Roman" w:hAnsi="Verdana" w:cs="Arial"/>
                <w:sz w:val="20"/>
                <w:szCs w:val="20"/>
                <w:lang w:eastAsia="es-CO"/>
              </w:rPr>
              <w:t>/2024</w:t>
            </w:r>
          </w:p>
        </w:tc>
      </w:tr>
      <w:tr w:rsidR="004957F2" w:rsidRPr="00712D2C" w14:paraId="5DBD9B7E" w14:textId="77777777" w:rsidTr="00597522">
        <w:trPr>
          <w:trHeight w:val="26"/>
          <w:jc w:val="center"/>
        </w:trPr>
        <w:tc>
          <w:tcPr>
            <w:tcW w:w="753" w:type="dxa"/>
            <w:shd w:val="clear" w:color="auto" w:fill="auto"/>
            <w:noWrap/>
            <w:vAlign w:val="center"/>
          </w:tcPr>
          <w:p w14:paraId="7AF4B85D" w14:textId="4E0319E6" w:rsidR="004957F2" w:rsidRPr="00712D2C" w:rsidRDefault="004957F2"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lastRenderedPageBreak/>
              <w:t>7</w:t>
            </w:r>
          </w:p>
        </w:tc>
        <w:tc>
          <w:tcPr>
            <w:tcW w:w="2503" w:type="dxa"/>
            <w:shd w:val="clear" w:color="auto" w:fill="auto"/>
            <w:vAlign w:val="center"/>
          </w:tcPr>
          <w:p w14:paraId="1951D4CE" w14:textId="7799AFE1" w:rsidR="004957F2" w:rsidRPr="00712D2C" w:rsidRDefault="0080537C"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Publicación del proyecto de documento tipo en la página web</w:t>
            </w:r>
          </w:p>
        </w:tc>
        <w:tc>
          <w:tcPr>
            <w:tcW w:w="2526" w:type="dxa"/>
            <w:shd w:val="clear" w:color="auto" w:fill="auto"/>
            <w:vAlign w:val="center"/>
          </w:tcPr>
          <w:p w14:paraId="735D909D" w14:textId="2BA719EE" w:rsidR="004957F2" w:rsidRPr="00712D2C" w:rsidRDefault="0080537C"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 xml:space="preserve">Publicación para comentarios y observaciones de: i) el proyecto de documento tipo y </w:t>
            </w:r>
            <w:proofErr w:type="spellStart"/>
            <w:r w:rsidRPr="00712D2C">
              <w:rPr>
                <w:rFonts w:ascii="Verdana" w:eastAsia="Times New Roman" w:hAnsi="Verdana" w:cs="Arial"/>
                <w:color w:val="000000"/>
                <w:sz w:val="20"/>
                <w:szCs w:val="20"/>
                <w:lang w:eastAsia="es-CO"/>
              </w:rPr>
              <w:t>ii</w:t>
            </w:r>
            <w:proofErr w:type="spellEnd"/>
            <w:r w:rsidRPr="00712D2C">
              <w:rPr>
                <w:rFonts w:ascii="Verdana" w:eastAsia="Times New Roman" w:hAnsi="Verdana" w:cs="Arial"/>
                <w:color w:val="000000"/>
                <w:sz w:val="20"/>
                <w:szCs w:val="20"/>
                <w:lang w:eastAsia="es-CO"/>
              </w:rPr>
              <w:t>) el proyecto de resolución que los adopta</w:t>
            </w:r>
          </w:p>
        </w:tc>
        <w:tc>
          <w:tcPr>
            <w:tcW w:w="1443" w:type="dxa"/>
            <w:shd w:val="clear" w:color="auto" w:fill="auto"/>
            <w:noWrap/>
            <w:vAlign w:val="center"/>
          </w:tcPr>
          <w:p w14:paraId="6781D690" w14:textId="6877E16B" w:rsidR="004957F2" w:rsidRPr="00712D2C" w:rsidRDefault="00BB49A4" w:rsidP="00A6760A">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21/10</w:t>
            </w:r>
            <w:r w:rsidR="0080537C" w:rsidRPr="00712D2C">
              <w:rPr>
                <w:rFonts w:ascii="Verdana" w:eastAsia="Times New Roman" w:hAnsi="Verdana" w:cs="Arial"/>
                <w:sz w:val="20"/>
                <w:szCs w:val="20"/>
                <w:lang w:eastAsia="es-CO"/>
              </w:rPr>
              <w:t>/2024</w:t>
            </w:r>
          </w:p>
        </w:tc>
        <w:tc>
          <w:tcPr>
            <w:tcW w:w="1275" w:type="dxa"/>
            <w:shd w:val="clear" w:color="auto" w:fill="auto"/>
            <w:vAlign w:val="center"/>
          </w:tcPr>
          <w:p w14:paraId="7B113224" w14:textId="60FF3DA6" w:rsidR="004957F2" w:rsidRPr="00712D2C" w:rsidRDefault="00BB49A4" w:rsidP="00A6760A">
            <w:pPr>
              <w:rPr>
                <w:rFonts w:ascii="Verdana" w:eastAsia="Times New Roman" w:hAnsi="Verdana" w:cs="Arial"/>
                <w:sz w:val="20"/>
                <w:szCs w:val="20"/>
                <w:lang w:eastAsia="es-CO"/>
              </w:rPr>
            </w:pPr>
            <w:r w:rsidRPr="00712D2C">
              <w:rPr>
                <w:rFonts w:ascii="Verdana" w:eastAsia="Times New Roman" w:hAnsi="Verdana" w:cs="Arial"/>
                <w:sz w:val="20"/>
                <w:szCs w:val="20"/>
                <w:lang w:eastAsia="es-CO"/>
              </w:rPr>
              <w:t>03</w:t>
            </w:r>
            <w:r w:rsidR="00F519E0" w:rsidRPr="00712D2C">
              <w:rPr>
                <w:rFonts w:ascii="Verdana" w:eastAsia="Times New Roman" w:hAnsi="Verdana" w:cs="Arial"/>
                <w:sz w:val="20"/>
                <w:szCs w:val="20"/>
                <w:lang w:eastAsia="es-CO"/>
              </w:rPr>
              <w:t>/</w:t>
            </w:r>
            <w:r w:rsidRPr="00712D2C">
              <w:rPr>
                <w:rFonts w:ascii="Verdana" w:eastAsia="Times New Roman" w:hAnsi="Verdana" w:cs="Arial"/>
                <w:sz w:val="20"/>
                <w:szCs w:val="20"/>
                <w:lang w:eastAsia="es-CO"/>
              </w:rPr>
              <w:t>11</w:t>
            </w:r>
            <w:r w:rsidR="00F519E0" w:rsidRPr="00712D2C">
              <w:rPr>
                <w:rFonts w:ascii="Verdana" w:eastAsia="Times New Roman" w:hAnsi="Verdana" w:cs="Arial"/>
                <w:sz w:val="20"/>
                <w:szCs w:val="20"/>
                <w:lang w:eastAsia="es-CO"/>
              </w:rPr>
              <w:t>/2024</w:t>
            </w:r>
          </w:p>
        </w:tc>
      </w:tr>
      <w:tr w:rsidR="00F519E0" w:rsidRPr="00712D2C" w14:paraId="2BA71EDA" w14:textId="77777777" w:rsidTr="00597522">
        <w:trPr>
          <w:trHeight w:val="26"/>
          <w:jc w:val="center"/>
        </w:trPr>
        <w:tc>
          <w:tcPr>
            <w:tcW w:w="753" w:type="dxa"/>
            <w:shd w:val="clear" w:color="auto" w:fill="auto"/>
            <w:noWrap/>
            <w:vAlign w:val="center"/>
          </w:tcPr>
          <w:p w14:paraId="360B9379" w14:textId="455768B6" w:rsidR="00F519E0" w:rsidRPr="00712D2C" w:rsidRDefault="00F519E0"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8</w:t>
            </w:r>
          </w:p>
        </w:tc>
        <w:tc>
          <w:tcPr>
            <w:tcW w:w="2503" w:type="dxa"/>
            <w:shd w:val="clear" w:color="auto" w:fill="auto"/>
            <w:vAlign w:val="center"/>
          </w:tcPr>
          <w:p w14:paraId="75254C04" w14:textId="4346703D" w:rsidR="00F519E0" w:rsidRPr="00712D2C" w:rsidRDefault="00F519E0"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Trámite de abogacía de la competencia ante la SIC</w:t>
            </w:r>
          </w:p>
        </w:tc>
        <w:tc>
          <w:tcPr>
            <w:tcW w:w="2526" w:type="dxa"/>
            <w:shd w:val="clear" w:color="auto" w:fill="auto"/>
            <w:vAlign w:val="center"/>
          </w:tcPr>
          <w:p w14:paraId="32E22519" w14:textId="08EDF49F" w:rsidR="001B1671" w:rsidRPr="00712D2C" w:rsidRDefault="00741ACF"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Remisión a la Superintendencia de Industria y Comercio del proyecto de resolución para que dé su concepto en relación con la posible afectación a la libre competencia</w:t>
            </w:r>
          </w:p>
        </w:tc>
        <w:tc>
          <w:tcPr>
            <w:tcW w:w="1443" w:type="dxa"/>
            <w:shd w:val="clear" w:color="auto" w:fill="auto"/>
            <w:noWrap/>
            <w:vAlign w:val="center"/>
          </w:tcPr>
          <w:p w14:paraId="28B5FC70" w14:textId="7D18710B" w:rsidR="00F519E0" w:rsidRPr="00712D2C" w:rsidRDefault="00E97F92" w:rsidP="00A6760A">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12/11</w:t>
            </w:r>
            <w:r w:rsidR="00741ACF" w:rsidRPr="00712D2C">
              <w:rPr>
                <w:rFonts w:ascii="Verdana" w:eastAsia="Times New Roman" w:hAnsi="Verdana" w:cs="Arial"/>
                <w:sz w:val="20"/>
                <w:szCs w:val="20"/>
                <w:lang w:eastAsia="es-CO"/>
              </w:rPr>
              <w:t>/2024</w:t>
            </w:r>
          </w:p>
        </w:tc>
        <w:tc>
          <w:tcPr>
            <w:tcW w:w="1275" w:type="dxa"/>
            <w:shd w:val="clear" w:color="auto" w:fill="auto"/>
            <w:vAlign w:val="center"/>
          </w:tcPr>
          <w:p w14:paraId="68A20BAF" w14:textId="574F4920" w:rsidR="00F519E0" w:rsidRPr="00712D2C" w:rsidRDefault="00E97F92" w:rsidP="00A6760A">
            <w:pPr>
              <w:rPr>
                <w:rFonts w:ascii="Verdana" w:eastAsia="Times New Roman" w:hAnsi="Verdana" w:cs="Arial"/>
                <w:sz w:val="20"/>
                <w:szCs w:val="20"/>
                <w:lang w:eastAsia="es-CO"/>
              </w:rPr>
            </w:pPr>
            <w:r w:rsidRPr="00712D2C">
              <w:rPr>
                <w:rFonts w:ascii="Verdana" w:eastAsia="Times New Roman" w:hAnsi="Verdana" w:cs="Arial"/>
                <w:sz w:val="20"/>
                <w:szCs w:val="20"/>
                <w:lang w:eastAsia="es-CO"/>
              </w:rPr>
              <w:t>25/11</w:t>
            </w:r>
            <w:r w:rsidR="00741ACF" w:rsidRPr="00712D2C">
              <w:rPr>
                <w:rFonts w:ascii="Verdana" w:eastAsia="Times New Roman" w:hAnsi="Verdana" w:cs="Arial"/>
                <w:sz w:val="20"/>
                <w:szCs w:val="20"/>
                <w:lang w:eastAsia="es-CO"/>
              </w:rPr>
              <w:t>/2024</w:t>
            </w:r>
          </w:p>
        </w:tc>
      </w:tr>
      <w:tr w:rsidR="00741ACF" w:rsidRPr="00712D2C" w14:paraId="3A26D42D" w14:textId="77777777" w:rsidTr="00597522">
        <w:trPr>
          <w:trHeight w:val="26"/>
          <w:jc w:val="center"/>
        </w:trPr>
        <w:tc>
          <w:tcPr>
            <w:tcW w:w="753" w:type="dxa"/>
            <w:shd w:val="clear" w:color="auto" w:fill="auto"/>
            <w:noWrap/>
            <w:vAlign w:val="center"/>
          </w:tcPr>
          <w:p w14:paraId="7A4028D6" w14:textId="15FC2A91" w:rsidR="00741ACF" w:rsidRPr="00712D2C" w:rsidRDefault="003E24D1"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9</w:t>
            </w:r>
          </w:p>
        </w:tc>
        <w:tc>
          <w:tcPr>
            <w:tcW w:w="2503" w:type="dxa"/>
            <w:shd w:val="clear" w:color="auto" w:fill="auto"/>
            <w:vAlign w:val="center"/>
          </w:tcPr>
          <w:p w14:paraId="0A6B86D7" w14:textId="78C66D00" w:rsidR="00741ACF" w:rsidRPr="00712D2C" w:rsidRDefault="003E24D1"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Revisión de los comentarios y ajustes al Documento Tipo frente a los borradores anteriores</w:t>
            </w:r>
          </w:p>
        </w:tc>
        <w:tc>
          <w:tcPr>
            <w:tcW w:w="2526" w:type="dxa"/>
            <w:shd w:val="clear" w:color="auto" w:fill="auto"/>
            <w:vAlign w:val="center"/>
          </w:tcPr>
          <w:p w14:paraId="5A20AB90" w14:textId="3FAA5ABE" w:rsidR="00741ACF" w:rsidRPr="00712D2C" w:rsidRDefault="003E24D1"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Generar respuesta a las observaciones y realizar ajustes a la modificación de los documentos tipo</w:t>
            </w:r>
          </w:p>
        </w:tc>
        <w:tc>
          <w:tcPr>
            <w:tcW w:w="1443" w:type="dxa"/>
            <w:shd w:val="clear" w:color="auto" w:fill="auto"/>
            <w:noWrap/>
            <w:vAlign w:val="center"/>
          </w:tcPr>
          <w:p w14:paraId="32629BC4" w14:textId="11E1B92D" w:rsidR="00741ACF" w:rsidRPr="00712D2C" w:rsidRDefault="008618F1" w:rsidP="00A6760A">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26/11</w:t>
            </w:r>
            <w:r w:rsidR="00DC7425" w:rsidRPr="00712D2C">
              <w:rPr>
                <w:rFonts w:ascii="Verdana" w:eastAsia="Times New Roman" w:hAnsi="Verdana" w:cs="Arial"/>
                <w:sz w:val="20"/>
                <w:szCs w:val="20"/>
                <w:lang w:eastAsia="es-CO"/>
              </w:rPr>
              <w:t>/2024</w:t>
            </w:r>
          </w:p>
        </w:tc>
        <w:tc>
          <w:tcPr>
            <w:tcW w:w="1275" w:type="dxa"/>
            <w:shd w:val="clear" w:color="auto" w:fill="auto"/>
            <w:vAlign w:val="center"/>
          </w:tcPr>
          <w:p w14:paraId="0BFE69A0" w14:textId="59D7584B" w:rsidR="00741ACF" w:rsidRPr="00712D2C" w:rsidRDefault="008618F1" w:rsidP="00A6760A">
            <w:pPr>
              <w:rPr>
                <w:rFonts w:ascii="Verdana" w:eastAsia="Times New Roman" w:hAnsi="Verdana" w:cs="Arial"/>
                <w:sz w:val="20"/>
                <w:szCs w:val="20"/>
                <w:lang w:eastAsia="es-CO"/>
              </w:rPr>
            </w:pPr>
            <w:r w:rsidRPr="00712D2C">
              <w:rPr>
                <w:rFonts w:ascii="Verdana" w:eastAsia="Times New Roman" w:hAnsi="Verdana" w:cs="Arial"/>
                <w:sz w:val="20"/>
                <w:szCs w:val="20"/>
                <w:lang w:eastAsia="es-CO"/>
              </w:rPr>
              <w:t>06/12</w:t>
            </w:r>
            <w:r w:rsidR="00DC7425" w:rsidRPr="00712D2C">
              <w:rPr>
                <w:rFonts w:ascii="Verdana" w:eastAsia="Times New Roman" w:hAnsi="Verdana" w:cs="Arial"/>
                <w:sz w:val="20"/>
                <w:szCs w:val="20"/>
                <w:lang w:eastAsia="es-CO"/>
              </w:rPr>
              <w:t>/2024</w:t>
            </w:r>
          </w:p>
        </w:tc>
      </w:tr>
      <w:tr w:rsidR="003750D8" w:rsidRPr="00712D2C" w14:paraId="5918AF17" w14:textId="77777777" w:rsidTr="00597522">
        <w:trPr>
          <w:trHeight w:val="26"/>
          <w:jc w:val="center"/>
        </w:trPr>
        <w:tc>
          <w:tcPr>
            <w:tcW w:w="753" w:type="dxa"/>
            <w:shd w:val="clear" w:color="auto" w:fill="auto"/>
            <w:noWrap/>
            <w:vAlign w:val="center"/>
          </w:tcPr>
          <w:p w14:paraId="1CAFB3ED" w14:textId="14094448" w:rsidR="003750D8" w:rsidRPr="00712D2C" w:rsidRDefault="00A33B57"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10</w:t>
            </w:r>
          </w:p>
        </w:tc>
        <w:tc>
          <w:tcPr>
            <w:tcW w:w="2503" w:type="dxa"/>
            <w:shd w:val="clear" w:color="auto" w:fill="auto"/>
            <w:vAlign w:val="center"/>
          </w:tcPr>
          <w:p w14:paraId="1B964E16" w14:textId="1EDFE330" w:rsidR="003750D8" w:rsidRPr="00712D2C" w:rsidRDefault="003750D8"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color w:val="000000"/>
                <w:sz w:val="20"/>
                <w:szCs w:val="20"/>
                <w:lang w:eastAsia="es-CO"/>
              </w:rPr>
              <w:t>Expedición del acto administrativo -Resolución de CCE- y de los documentos tipo</w:t>
            </w:r>
          </w:p>
        </w:tc>
        <w:tc>
          <w:tcPr>
            <w:tcW w:w="2526" w:type="dxa"/>
            <w:shd w:val="clear" w:color="auto" w:fill="auto"/>
            <w:vAlign w:val="center"/>
          </w:tcPr>
          <w:p w14:paraId="703E644D" w14:textId="1E6B8BD3" w:rsidR="003750D8" w:rsidRPr="00712D2C" w:rsidRDefault="00E83A37" w:rsidP="00A6760A">
            <w:pPr>
              <w:spacing w:after="0" w:line="240" w:lineRule="auto"/>
              <w:jc w:val="both"/>
              <w:rPr>
                <w:rFonts w:ascii="Verdana" w:eastAsia="Times New Roman" w:hAnsi="Verdana" w:cs="Arial"/>
                <w:sz w:val="20"/>
                <w:szCs w:val="20"/>
                <w:lang w:eastAsia="es-CO"/>
              </w:rPr>
            </w:pPr>
            <w:r w:rsidRPr="00712D2C">
              <w:rPr>
                <w:rFonts w:ascii="Verdana" w:eastAsia="Times New Roman" w:hAnsi="Verdana" w:cs="Arial"/>
                <w:sz w:val="20"/>
                <w:szCs w:val="20"/>
                <w:lang w:eastAsia="es-CO"/>
              </w:rPr>
              <w:t>Publicación de acto administrativo de CCE y los Anexos de Resolución</w:t>
            </w:r>
          </w:p>
        </w:tc>
        <w:tc>
          <w:tcPr>
            <w:tcW w:w="2718" w:type="dxa"/>
            <w:gridSpan w:val="2"/>
            <w:shd w:val="clear" w:color="auto" w:fill="auto"/>
            <w:noWrap/>
            <w:vAlign w:val="center"/>
          </w:tcPr>
          <w:p w14:paraId="62DD2671" w14:textId="06F97DE6" w:rsidR="003750D8" w:rsidRPr="00712D2C" w:rsidRDefault="00D851C0" w:rsidP="0080392C">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15</w:t>
            </w:r>
            <w:r w:rsidR="00E83A37" w:rsidRPr="00712D2C">
              <w:rPr>
                <w:rFonts w:ascii="Verdana" w:eastAsia="Times New Roman" w:hAnsi="Verdana" w:cs="Arial"/>
                <w:sz w:val="20"/>
                <w:szCs w:val="20"/>
                <w:lang w:eastAsia="es-CO"/>
              </w:rPr>
              <w:t>/</w:t>
            </w:r>
            <w:r w:rsidRPr="00712D2C">
              <w:rPr>
                <w:rFonts w:ascii="Verdana" w:eastAsia="Times New Roman" w:hAnsi="Verdana" w:cs="Arial"/>
                <w:sz w:val="20"/>
                <w:szCs w:val="20"/>
                <w:lang w:eastAsia="es-CO"/>
              </w:rPr>
              <w:t>12</w:t>
            </w:r>
            <w:r w:rsidR="00E83A37" w:rsidRPr="00712D2C">
              <w:rPr>
                <w:rFonts w:ascii="Verdana" w:eastAsia="Times New Roman" w:hAnsi="Verdana" w:cs="Arial"/>
                <w:sz w:val="20"/>
                <w:szCs w:val="20"/>
                <w:lang w:eastAsia="es-CO"/>
              </w:rPr>
              <w:t>/2024</w:t>
            </w:r>
          </w:p>
        </w:tc>
      </w:tr>
      <w:tr w:rsidR="00EA3DF9" w:rsidRPr="00712D2C" w14:paraId="33ED80DE" w14:textId="77777777" w:rsidTr="00597522">
        <w:trPr>
          <w:trHeight w:val="26"/>
          <w:jc w:val="center"/>
        </w:trPr>
        <w:tc>
          <w:tcPr>
            <w:tcW w:w="753" w:type="dxa"/>
            <w:shd w:val="clear" w:color="auto" w:fill="auto"/>
            <w:noWrap/>
            <w:vAlign w:val="center"/>
          </w:tcPr>
          <w:p w14:paraId="2301F0BB" w14:textId="78C77E63" w:rsidR="00EA3DF9" w:rsidRPr="00712D2C" w:rsidRDefault="00597522" w:rsidP="00A6760A">
            <w:pPr>
              <w:spacing w:after="0" w:line="240" w:lineRule="auto"/>
              <w:jc w:val="center"/>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11</w:t>
            </w:r>
          </w:p>
        </w:tc>
        <w:tc>
          <w:tcPr>
            <w:tcW w:w="2503" w:type="dxa"/>
            <w:shd w:val="clear" w:color="auto" w:fill="auto"/>
            <w:vAlign w:val="center"/>
          </w:tcPr>
          <w:p w14:paraId="1C7CF493" w14:textId="72B3282F" w:rsidR="00EA3DF9" w:rsidRPr="00712D2C" w:rsidRDefault="00EA3DF9"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Implementación</w:t>
            </w:r>
            <w:r w:rsidR="00E83A37" w:rsidRPr="00712D2C">
              <w:rPr>
                <w:rFonts w:ascii="Verdana" w:eastAsia="Times New Roman" w:hAnsi="Verdana" w:cs="Arial"/>
                <w:color w:val="000000"/>
                <w:sz w:val="20"/>
                <w:szCs w:val="20"/>
                <w:lang w:eastAsia="es-CO"/>
              </w:rPr>
              <w:t xml:space="preserve"> de los documentos tipo</w:t>
            </w:r>
          </w:p>
        </w:tc>
        <w:tc>
          <w:tcPr>
            <w:tcW w:w="2526" w:type="dxa"/>
            <w:shd w:val="clear" w:color="auto" w:fill="auto"/>
            <w:vAlign w:val="center"/>
          </w:tcPr>
          <w:p w14:paraId="00BF7F8D" w14:textId="1DE7E5A6" w:rsidR="00EA3DF9" w:rsidRPr="00712D2C" w:rsidRDefault="00597522" w:rsidP="00A6760A">
            <w:pPr>
              <w:spacing w:after="0" w:line="240" w:lineRule="auto"/>
              <w:jc w:val="both"/>
              <w:rPr>
                <w:rFonts w:ascii="Verdana" w:eastAsia="Times New Roman" w:hAnsi="Verdana" w:cs="Arial"/>
                <w:color w:val="000000"/>
                <w:sz w:val="20"/>
                <w:szCs w:val="20"/>
                <w:lang w:eastAsia="es-CO"/>
              </w:rPr>
            </w:pPr>
            <w:r w:rsidRPr="00712D2C">
              <w:rPr>
                <w:rFonts w:ascii="Verdana" w:eastAsia="Times New Roman" w:hAnsi="Verdana" w:cs="Arial"/>
                <w:color w:val="000000"/>
                <w:sz w:val="20"/>
                <w:szCs w:val="20"/>
                <w:lang w:eastAsia="es-CO"/>
              </w:rPr>
              <w:t xml:space="preserve">Fecha en la cual se implementarán los Documentos Tipo. (Gradualidad y fecha por definir en coordinación con las entidades técnicas </w:t>
            </w:r>
            <w:r w:rsidR="001B1671" w:rsidRPr="00712D2C">
              <w:rPr>
                <w:rFonts w:ascii="Verdana" w:eastAsia="Times New Roman" w:hAnsi="Verdana" w:cs="Arial"/>
                <w:color w:val="000000"/>
                <w:sz w:val="20"/>
                <w:szCs w:val="20"/>
                <w:lang w:eastAsia="es-CO"/>
              </w:rPr>
              <w:t>y/</w:t>
            </w:r>
            <w:r w:rsidRPr="00712D2C">
              <w:rPr>
                <w:rFonts w:ascii="Verdana" w:eastAsia="Times New Roman" w:hAnsi="Verdana" w:cs="Arial"/>
                <w:color w:val="000000"/>
                <w:sz w:val="20"/>
                <w:szCs w:val="20"/>
                <w:lang w:eastAsia="es-CO"/>
              </w:rPr>
              <w:t>o especializadas)</w:t>
            </w:r>
          </w:p>
        </w:tc>
        <w:tc>
          <w:tcPr>
            <w:tcW w:w="2718" w:type="dxa"/>
            <w:gridSpan w:val="2"/>
            <w:shd w:val="clear" w:color="auto" w:fill="auto"/>
            <w:noWrap/>
            <w:vAlign w:val="center"/>
          </w:tcPr>
          <w:p w14:paraId="4D8CF706" w14:textId="033BCFA1" w:rsidR="00EA3DF9" w:rsidRPr="00712D2C" w:rsidRDefault="0053140C" w:rsidP="00A6760A">
            <w:pPr>
              <w:jc w:val="center"/>
              <w:rPr>
                <w:rFonts w:ascii="Verdana" w:eastAsia="Times New Roman" w:hAnsi="Verdana" w:cs="Arial"/>
                <w:sz w:val="20"/>
                <w:szCs w:val="20"/>
                <w:lang w:eastAsia="es-CO"/>
              </w:rPr>
            </w:pPr>
            <w:r w:rsidRPr="00712D2C">
              <w:rPr>
                <w:rFonts w:ascii="Verdana" w:eastAsia="Times New Roman" w:hAnsi="Verdana" w:cs="Arial"/>
                <w:sz w:val="20"/>
                <w:szCs w:val="20"/>
                <w:lang w:eastAsia="es-CO"/>
              </w:rPr>
              <w:t>Fecha pendiente de definir en conjunto con las entidades técnicas y/o especializadas</w:t>
            </w:r>
          </w:p>
        </w:tc>
      </w:tr>
    </w:tbl>
    <w:p w14:paraId="101F6CC5" w14:textId="77777777" w:rsidR="004B447B" w:rsidRPr="00712D2C" w:rsidRDefault="004B447B" w:rsidP="004B447B">
      <w:pPr>
        <w:pStyle w:val="Encabezado"/>
        <w:ind w:right="51"/>
        <w:jc w:val="both"/>
        <w:rPr>
          <w:rFonts w:ascii="Verdana" w:eastAsia="Times New Roman" w:hAnsi="Verdana" w:cs="Arial"/>
          <w:b/>
          <w:bCs/>
          <w:sz w:val="20"/>
          <w:szCs w:val="20"/>
          <w:lang w:val="es-ES" w:eastAsia="es-ES"/>
        </w:rPr>
      </w:pPr>
    </w:p>
    <w:p w14:paraId="13AF99AA" w14:textId="77777777" w:rsidR="009034B7" w:rsidRPr="00712D2C" w:rsidRDefault="009034B7" w:rsidP="009034B7">
      <w:pPr>
        <w:pStyle w:val="Encabezado"/>
        <w:ind w:right="51"/>
        <w:jc w:val="both"/>
        <w:rPr>
          <w:rFonts w:ascii="Verdana" w:eastAsia="Times New Roman" w:hAnsi="Verdana" w:cs="Arial"/>
          <w:sz w:val="20"/>
          <w:szCs w:val="20"/>
          <w:lang w:eastAsia="es-ES"/>
        </w:rPr>
      </w:pPr>
    </w:p>
    <w:p w14:paraId="52A6D484" w14:textId="753ABAA8" w:rsidR="009034B7" w:rsidRPr="00B406D7" w:rsidRDefault="00786507" w:rsidP="00CF57B4">
      <w:pPr>
        <w:spacing w:after="0" w:line="240" w:lineRule="auto"/>
        <w:ind w:right="51"/>
        <w:jc w:val="both"/>
        <w:rPr>
          <w:rFonts w:ascii="Verdana" w:hAnsi="Verdana" w:cs="Arial"/>
        </w:rPr>
      </w:pPr>
      <w:r w:rsidRPr="00B406D7">
        <w:rPr>
          <w:rFonts w:ascii="Verdana" w:hAnsi="Verdana" w:cs="Arial"/>
          <w:b/>
          <w:lang w:val="es-ES_tradnl"/>
        </w:rPr>
        <w:t>9</w:t>
      </w:r>
      <w:r w:rsidR="00CF57B4" w:rsidRPr="00B406D7">
        <w:rPr>
          <w:rFonts w:ascii="Verdana" w:hAnsi="Verdana" w:cs="Arial"/>
          <w:b/>
          <w:lang w:val="es-ES_tradnl"/>
        </w:rPr>
        <w:t xml:space="preserve">. </w:t>
      </w:r>
      <w:r w:rsidR="009034B7" w:rsidRPr="00B406D7">
        <w:rPr>
          <w:rFonts w:ascii="Verdana" w:hAnsi="Verdana" w:cs="Arial"/>
          <w:b/>
          <w:lang w:val="es-ES_tradnl"/>
        </w:rPr>
        <w:t>Ámbito de aplicación y sujetos a quien</w:t>
      </w:r>
      <w:r w:rsidR="00824012" w:rsidRPr="00B406D7">
        <w:rPr>
          <w:rFonts w:ascii="Verdana" w:hAnsi="Verdana" w:cs="Arial"/>
          <w:b/>
          <w:lang w:val="es-ES_tradnl"/>
        </w:rPr>
        <w:t>es</w:t>
      </w:r>
      <w:r w:rsidR="009034B7" w:rsidRPr="00B406D7">
        <w:rPr>
          <w:rFonts w:ascii="Verdana" w:hAnsi="Verdana" w:cs="Arial"/>
          <w:b/>
          <w:lang w:val="es-ES_tradnl"/>
        </w:rPr>
        <w:t xml:space="preserve"> </w:t>
      </w:r>
      <w:r w:rsidR="00824012" w:rsidRPr="00B406D7">
        <w:rPr>
          <w:rFonts w:ascii="Verdana" w:hAnsi="Verdana" w:cs="Arial"/>
          <w:b/>
          <w:lang w:val="es-ES_tradnl"/>
        </w:rPr>
        <w:t xml:space="preserve">se </w:t>
      </w:r>
      <w:r w:rsidR="009034B7" w:rsidRPr="00B406D7">
        <w:rPr>
          <w:rFonts w:ascii="Verdana" w:hAnsi="Verdana" w:cs="Arial"/>
          <w:b/>
          <w:lang w:val="es-ES_tradnl"/>
        </w:rPr>
        <w:t>dirig</w:t>
      </w:r>
      <w:r w:rsidR="00824012" w:rsidRPr="00B406D7">
        <w:rPr>
          <w:rFonts w:ascii="Verdana" w:hAnsi="Verdana" w:cs="Arial"/>
          <w:b/>
          <w:lang w:val="es-ES_tradnl"/>
        </w:rPr>
        <w:t>e</w:t>
      </w:r>
    </w:p>
    <w:p w14:paraId="6533A9E9" w14:textId="77777777" w:rsidR="009034B7" w:rsidRPr="00B406D7" w:rsidRDefault="009034B7" w:rsidP="009034B7">
      <w:pPr>
        <w:spacing w:after="0" w:line="240" w:lineRule="auto"/>
        <w:ind w:right="51"/>
        <w:jc w:val="both"/>
        <w:rPr>
          <w:rFonts w:ascii="Verdana" w:hAnsi="Verdana" w:cs="Arial"/>
        </w:rPr>
      </w:pPr>
    </w:p>
    <w:p w14:paraId="0A0A474F" w14:textId="3B5896A9" w:rsidR="009034B7" w:rsidRPr="00B406D7" w:rsidRDefault="009034B7" w:rsidP="009034B7">
      <w:pPr>
        <w:pStyle w:val="Normal11pt"/>
        <w:ind w:left="0" w:right="51"/>
        <w:rPr>
          <w:rFonts w:ascii="Verdana" w:hAnsi="Verdana"/>
          <w:color w:val="auto"/>
          <w:lang w:val="es-CO"/>
        </w:rPr>
      </w:pPr>
      <w:r w:rsidRPr="00B406D7">
        <w:rPr>
          <w:rFonts w:ascii="Verdana" w:hAnsi="Verdana"/>
          <w:color w:val="auto"/>
          <w:lang w:val="es-CO"/>
        </w:rPr>
        <w:t>L</w:t>
      </w:r>
      <w:r w:rsidR="00746B37" w:rsidRPr="00B406D7">
        <w:rPr>
          <w:rFonts w:ascii="Verdana" w:hAnsi="Verdana"/>
          <w:color w:val="auto"/>
          <w:lang w:val="es-CO"/>
        </w:rPr>
        <w:t>a modificación</w:t>
      </w:r>
      <w:r w:rsidR="00910BC9" w:rsidRPr="00B406D7">
        <w:rPr>
          <w:rFonts w:ascii="Verdana" w:hAnsi="Verdana"/>
          <w:color w:val="auto"/>
          <w:lang w:val="es-CO"/>
        </w:rPr>
        <w:t xml:space="preserve"> a los</w:t>
      </w:r>
      <w:r w:rsidRPr="00B406D7">
        <w:rPr>
          <w:rFonts w:ascii="Verdana" w:hAnsi="Verdana"/>
          <w:color w:val="auto"/>
          <w:lang w:val="es-CO"/>
        </w:rPr>
        <w:t xml:space="preserve"> documentos tipo</w:t>
      </w:r>
      <w:r w:rsidR="00FE62FB" w:rsidRPr="00B406D7">
        <w:rPr>
          <w:rFonts w:ascii="Verdana" w:hAnsi="Verdana"/>
          <w:color w:val="auto"/>
          <w:lang w:val="es-CO"/>
        </w:rPr>
        <w:t xml:space="preserve"> de infraestructura de </w:t>
      </w:r>
      <w:r w:rsidR="006937A1" w:rsidRPr="00B406D7">
        <w:rPr>
          <w:rFonts w:ascii="Verdana" w:hAnsi="Verdana"/>
          <w:color w:val="auto"/>
          <w:lang w:val="es-CO"/>
        </w:rPr>
        <w:t>transporte para procesos de</w:t>
      </w:r>
      <w:r w:rsidR="00966CCD" w:rsidRPr="00B406D7">
        <w:rPr>
          <w:rFonts w:ascii="Verdana" w:hAnsi="Verdana"/>
          <w:color w:val="auto"/>
          <w:lang w:val="es-CO"/>
        </w:rPr>
        <w:t xml:space="preserve"> </w:t>
      </w:r>
      <w:r w:rsidR="00612F29" w:rsidRPr="00B406D7">
        <w:rPr>
          <w:rFonts w:ascii="Verdana" w:hAnsi="Verdana"/>
          <w:color w:val="auto"/>
          <w:lang w:val="es-CO"/>
        </w:rPr>
        <w:t>consultoría de estudios de ingeniería</w:t>
      </w:r>
      <w:r w:rsidR="006937A1" w:rsidRPr="00B406D7">
        <w:rPr>
          <w:rFonts w:ascii="Verdana" w:hAnsi="Verdana"/>
          <w:color w:val="auto"/>
          <w:lang w:val="es-CO"/>
        </w:rPr>
        <w:t xml:space="preserve"> adelantados bajo la modalidad de </w:t>
      </w:r>
      <w:r w:rsidR="00966CCD" w:rsidRPr="00B406D7">
        <w:rPr>
          <w:rFonts w:ascii="Verdana" w:hAnsi="Verdana"/>
          <w:color w:val="auto"/>
          <w:lang w:val="es-CO"/>
        </w:rPr>
        <w:t>concurso de méritos</w:t>
      </w:r>
      <w:r w:rsidR="008A0243" w:rsidRPr="00B406D7">
        <w:rPr>
          <w:rFonts w:ascii="Verdana" w:hAnsi="Verdana"/>
          <w:color w:val="auto"/>
          <w:lang w:val="es-CO"/>
        </w:rPr>
        <w:t>,</w:t>
      </w:r>
      <w:r w:rsidR="006A0C3F" w:rsidRPr="00B406D7">
        <w:rPr>
          <w:rFonts w:ascii="Verdana" w:hAnsi="Verdana"/>
          <w:color w:val="auto"/>
          <w:lang w:val="es-CO"/>
        </w:rPr>
        <w:t xml:space="preserve"> </w:t>
      </w:r>
      <w:r w:rsidRPr="00B406D7">
        <w:rPr>
          <w:rFonts w:ascii="Verdana" w:hAnsi="Verdana"/>
          <w:color w:val="auto"/>
          <w:lang w:val="es-CO"/>
        </w:rPr>
        <w:t>tiene aplicación a nivel nacional</w:t>
      </w:r>
      <w:r w:rsidR="00C37B90" w:rsidRPr="00B406D7">
        <w:rPr>
          <w:rFonts w:ascii="Verdana" w:hAnsi="Verdana"/>
          <w:color w:val="auto"/>
          <w:lang w:val="es-CO"/>
        </w:rPr>
        <w:t>, y estos documentos</w:t>
      </w:r>
      <w:r w:rsidRPr="00B406D7">
        <w:rPr>
          <w:rFonts w:ascii="Verdana" w:hAnsi="Verdana"/>
          <w:color w:val="auto"/>
          <w:lang w:val="es-CO"/>
        </w:rPr>
        <w:t xml:space="preserve"> deben ser observados </w:t>
      </w:r>
      <w:r w:rsidRPr="00B406D7">
        <w:rPr>
          <w:rFonts w:ascii="Verdana" w:hAnsi="Verdana"/>
          <w:color w:val="auto"/>
          <w:lang w:val="es-CO"/>
        </w:rPr>
        <w:lastRenderedPageBreak/>
        <w:t xml:space="preserve">por todas las entidades sometidas al Estatuto General de Contratación </w:t>
      </w:r>
      <w:r w:rsidR="007F6B78" w:rsidRPr="00B406D7">
        <w:rPr>
          <w:rFonts w:ascii="Verdana" w:hAnsi="Verdana"/>
          <w:color w:val="auto"/>
          <w:lang w:val="es-CO"/>
        </w:rPr>
        <w:t xml:space="preserve">de la Administración </w:t>
      </w:r>
      <w:r w:rsidRPr="00B406D7">
        <w:rPr>
          <w:rFonts w:ascii="Verdana" w:hAnsi="Verdana"/>
          <w:color w:val="auto"/>
          <w:lang w:val="es-CO"/>
        </w:rPr>
        <w:t xml:space="preserve">Pública. </w:t>
      </w:r>
    </w:p>
    <w:p w14:paraId="6B404D40" w14:textId="1A49D5D7" w:rsidR="001D7EC1" w:rsidRPr="00B406D7" w:rsidRDefault="001D7EC1" w:rsidP="0080392C">
      <w:pPr>
        <w:pStyle w:val="Encabezado"/>
        <w:ind w:right="51"/>
        <w:jc w:val="both"/>
        <w:rPr>
          <w:rFonts w:ascii="Verdana" w:hAnsi="Verdana"/>
          <w:b/>
          <w:sz w:val="22"/>
          <w:szCs w:val="22"/>
        </w:rPr>
      </w:pPr>
      <w:r w:rsidRPr="00B406D7">
        <w:rPr>
          <w:rFonts w:ascii="Verdana" w:hAnsi="Verdana"/>
          <w:b/>
          <w:sz w:val="22"/>
          <w:szCs w:val="22"/>
        </w:rPr>
        <w:t>[…]</w:t>
      </w:r>
    </w:p>
    <w:p w14:paraId="6E174642" w14:textId="4AEB8257" w:rsidR="000B53B0" w:rsidRPr="00B406D7" w:rsidRDefault="00CF57B4" w:rsidP="00CF57B4">
      <w:pPr>
        <w:spacing w:after="0" w:line="240" w:lineRule="auto"/>
        <w:ind w:right="51"/>
        <w:jc w:val="both"/>
        <w:rPr>
          <w:rFonts w:ascii="Verdana" w:hAnsi="Verdana" w:cs="Arial"/>
          <w:b/>
          <w:lang w:val="es-ES_tradnl"/>
        </w:rPr>
      </w:pPr>
      <w:r w:rsidRPr="00B406D7">
        <w:rPr>
          <w:rFonts w:ascii="Verdana" w:hAnsi="Verdana" w:cs="Arial"/>
          <w:b/>
          <w:lang w:val="es-ES_tradnl"/>
        </w:rPr>
        <w:t>1</w:t>
      </w:r>
      <w:r w:rsidR="00786507" w:rsidRPr="00B406D7">
        <w:rPr>
          <w:rFonts w:ascii="Verdana" w:hAnsi="Verdana" w:cs="Arial"/>
          <w:b/>
          <w:lang w:val="es-ES_tradnl"/>
        </w:rPr>
        <w:t>0</w:t>
      </w:r>
      <w:r w:rsidRPr="00B406D7">
        <w:rPr>
          <w:rFonts w:ascii="Verdana" w:hAnsi="Verdana" w:cs="Arial"/>
          <w:b/>
          <w:lang w:val="es-ES_tradnl"/>
        </w:rPr>
        <w:t xml:space="preserve">. </w:t>
      </w:r>
      <w:r w:rsidR="00F3689D" w:rsidRPr="00B406D7">
        <w:rPr>
          <w:rFonts w:ascii="Verdana" w:hAnsi="Verdana" w:cs="Arial"/>
          <w:b/>
          <w:lang w:val="es-ES_tradnl"/>
        </w:rPr>
        <w:t>Trámite de abogacía de la competencia</w:t>
      </w:r>
    </w:p>
    <w:p w14:paraId="575B41F0" w14:textId="4055F5FB" w:rsidR="00C44E63" w:rsidRPr="00B406D7" w:rsidRDefault="001D7EC1" w:rsidP="00F33254">
      <w:pPr>
        <w:pStyle w:val="Normal11pt"/>
        <w:ind w:left="0" w:right="51"/>
        <w:rPr>
          <w:rFonts w:ascii="Verdana" w:eastAsiaTheme="minorHAnsi" w:hAnsi="Verdana"/>
          <w:b/>
          <w:color w:val="auto"/>
          <w:lang w:eastAsia="en-US"/>
        </w:rPr>
      </w:pPr>
      <w:r w:rsidRPr="00B406D7">
        <w:rPr>
          <w:rFonts w:ascii="Verdana" w:eastAsiaTheme="minorHAnsi" w:hAnsi="Verdana"/>
          <w:b/>
          <w:color w:val="auto"/>
          <w:lang w:eastAsia="en-US"/>
        </w:rPr>
        <w:t>[…]</w:t>
      </w:r>
    </w:p>
    <w:p w14:paraId="44DFE5CB" w14:textId="7B0C10BB" w:rsidR="009034B7" w:rsidRPr="00B406D7" w:rsidRDefault="00CF57B4" w:rsidP="00CF57B4">
      <w:pPr>
        <w:spacing w:after="0" w:line="240" w:lineRule="auto"/>
        <w:ind w:right="51"/>
        <w:jc w:val="both"/>
        <w:rPr>
          <w:rFonts w:ascii="Verdana" w:hAnsi="Verdana" w:cs="Arial"/>
          <w:b/>
          <w:lang w:val="es-ES_tradnl"/>
        </w:rPr>
      </w:pPr>
      <w:r w:rsidRPr="00B406D7">
        <w:rPr>
          <w:rFonts w:ascii="Verdana" w:hAnsi="Verdana" w:cs="Arial"/>
          <w:b/>
          <w:lang w:val="es-ES_tradnl"/>
        </w:rPr>
        <w:t>1</w:t>
      </w:r>
      <w:r w:rsidR="00786507" w:rsidRPr="00B406D7">
        <w:rPr>
          <w:rFonts w:ascii="Verdana" w:hAnsi="Verdana" w:cs="Arial"/>
          <w:b/>
          <w:lang w:val="es-ES_tradnl"/>
        </w:rPr>
        <w:t>1</w:t>
      </w:r>
      <w:r w:rsidRPr="00B406D7">
        <w:rPr>
          <w:rFonts w:ascii="Verdana" w:hAnsi="Verdana" w:cs="Arial"/>
          <w:b/>
          <w:lang w:val="es-ES_tradnl"/>
        </w:rPr>
        <w:t xml:space="preserve">. </w:t>
      </w:r>
      <w:r w:rsidR="009034B7" w:rsidRPr="00B406D7">
        <w:rPr>
          <w:rFonts w:ascii="Verdana" w:hAnsi="Verdana" w:cs="Arial"/>
          <w:b/>
          <w:lang w:val="es-ES_tradnl"/>
        </w:rPr>
        <w:t xml:space="preserve">Análisis de </w:t>
      </w:r>
      <w:r w:rsidR="005907B7" w:rsidRPr="00B406D7">
        <w:rPr>
          <w:rFonts w:ascii="Verdana" w:hAnsi="Verdana" w:cs="Arial"/>
          <w:b/>
          <w:lang w:val="es-ES_tradnl"/>
        </w:rPr>
        <w:t>i</w:t>
      </w:r>
      <w:r w:rsidR="009034B7" w:rsidRPr="00B406D7">
        <w:rPr>
          <w:rFonts w:ascii="Verdana" w:hAnsi="Verdana" w:cs="Arial"/>
          <w:b/>
          <w:lang w:val="es-ES_tradnl"/>
        </w:rPr>
        <w:t>mpacto, disponibilidad presupuestal</w:t>
      </w:r>
    </w:p>
    <w:p w14:paraId="5C7F7190" w14:textId="77777777" w:rsidR="009034B7" w:rsidRPr="00B406D7" w:rsidRDefault="009034B7" w:rsidP="009034B7">
      <w:pPr>
        <w:spacing w:after="0" w:line="240" w:lineRule="auto"/>
        <w:ind w:right="51"/>
        <w:jc w:val="both"/>
        <w:rPr>
          <w:rFonts w:ascii="Verdana" w:hAnsi="Verdana" w:cs="Arial"/>
          <w:b/>
          <w:lang w:val="es-ES_tradnl"/>
        </w:rPr>
      </w:pPr>
    </w:p>
    <w:p w14:paraId="0F7101EF" w14:textId="655E955C" w:rsidR="006163C6" w:rsidRPr="00B406D7" w:rsidRDefault="009034B7" w:rsidP="664867B7">
      <w:pPr>
        <w:pStyle w:val="Normal11pt"/>
        <w:ind w:left="0" w:right="51"/>
        <w:rPr>
          <w:rFonts w:ascii="Verdana" w:hAnsi="Verdana"/>
          <w:color w:val="auto"/>
          <w:lang w:val="es-ES"/>
        </w:rPr>
      </w:pPr>
      <w:r w:rsidRPr="00B406D7">
        <w:rPr>
          <w:rFonts w:ascii="Verdana" w:hAnsi="Verdana"/>
          <w:color w:val="auto"/>
          <w:lang w:val="es-ES"/>
        </w:rPr>
        <w:t xml:space="preserve">La expedición </w:t>
      </w:r>
      <w:r w:rsidR="004D13CC" w:rsidRPr="00B406D7">
        <w:rPr>
          <w:rFonts w:ascii="Verdana" w:hAnsi="Verdana"/>
          <w:color w:val="auto"/>
          <w:lang w:val="es-ES"/>
        </w:rPr>
        <w:t>de esta resolución</w:t>
      </w:r>
      <w:r w:rsidRPr="00B406D7">
        <w:rPr>
          <w:rFonts w:ascii="Verdana" w:hAnsi="Verdana"/>
          <w:color w:val="auto"/>
          <w:lang w:val="es-ES"/>
        </w:rPr>
        <w:t xml:space="preserve"> </w:t>
      </w:r>
      <w:r w:rsidR="2029C8BE" w:rsidRPr="00B406D7">
        <w:rPr>
          <w:rFonts w:ascii="Verdana" w:hAnsi="Verdana"/>
          <w:color w:val="auto"/>
          <w:lang w:val="es-ES"/>
        </w:rPr>
        <w:t>contribuirá a</w:t>
      </w:r>
      <w:r w:rsidRPr="00B406D7">
        <w:rPr>
          <w:rFonts w:ascii="Verdana" w:hAnsi="Verdana"/>
          <w:color w:val="auto"/>
          <w:lang w:val="es-ES"/>
        </w:rPr>
        <w:t>:</w:t>
      </w:r>
      <w:r w:rsidR="005F73CF" w:rsidRPr="00B406D7">
        <w:rPr>
          <w:rFonts w:ascii="Verdana" w:hAnsi="Verdana"/>
          <w:color w:val="auto"/>
          <w:lang w:val="es-ES"/>
        </w:rPr>
        <w:t xml:space="preserve"> i) </w:t>
      </w:r>
      <w:r w:rsidR="00B90912" w:rsidRPr="00B406D7">
        <w:rPr>
          <w:rFonts w:ascii="Verdana" w:hAnsi="Verdana"/>
          <w:color w:val="auto"/>
          <w:lang w:val="es-ES"/>
        </w:rPr>
        <w:t>incrementar la pluralidad de oferentes;</w:t>
      </w:r>
      <w:r w:rsidR="006163C6" w:rsidRPr="00B406D7">
        <w:rPr>
          <w:rFonts w:ascii="Verdana" w:hAnsi="Verdana"/>
          <w:color w:val="auto"/>
          <w:lang w:val="es-ES"/>
        </w:rPr>
        <w:t xml:space="preserve"> </w:t>
      </w:r>
      <w:proofErr w:type="spellStart"/>
      <w:r w:rsidR="006163C6" w:rsidRPr="00B406D7">
        <w:rPr>
          <w:rFonts w:ascii="Verdana" w:hAnsi="Verdana"/>
          <w:color w:val="auto"/>
          <w:lang w:val="es-ES"/>
        </w:rPr>
        <w:t>i</w:t>
      </w:r>
      <w:r w:rsidR="00565EDF" w:rsidRPr="00B406D7">
        <w:rPr>
          <w:rFonts w:ascii="Verdana" w:hAnsi="Verdana"/>
          <w:color w:val="auto"/>
          <w:lang w:val="es-ES"/>
        </w:rPr>
        <w:t>i</w:t>
      </w:r>
      <w:proofErr w:type="spellEnd"/>
      <w:r w:rsidR="00565EDF" w:rsidRPr="00B406D7">
        <w:rPr>
          <w:rFonts w:ascii="Verdana" w:hAnsi="Verdana"/>
          <w:color w:val="auto"/>
          <w:lang w:val="es-ES"/>
        </w:rPr>
        <w:t xml:space="preserve">) </w:t>
      </w:r>
      <w:r w:rsidR="007F6DFF" w:rsidRPr="00B406D7">
        <w:rPr>
          <w:rFonts w:ascii="Verdana" w:hAnsi="Verdana"/>
          <w:color w:val="auto"/>
          <w:lang w:val="es-ES"/>
        </w:rPr>
        <w:t xml:space="preserve">disminuir las brechas sociales; </w:t>
      </w:r>
      <w:proofErr w:type="spellStart"/>
      <w:r w:rsidR="009B14BA" w:rsidRPr="00B406D7">
        <w:rPr>
          <w:rFonts w:ascii="Verdana" w:hAnsi="Verdana"/>
          <w:color w:val="auto"/>
          <w:lang w:val="es-ES"/>
        </w:rPr>
        <w:t>i</w:t>
      </w:r>
      <w:r w:rsidR="001B79FD" w:rsidRPr="00B406D7">
        <w:rPr>
          <w:rFonts w:ascii="Verdana" w:hAnsi="Verdana"/>
          <w:color w:val="auto"/>
          <w:lang w:val="es-ES"/>
        </w:rPr>
        <w:t>ii</w:t>
      </w:r>
      <w:proofErr w:type="spellEnd"/>
      <w:r w:rsidR="009B14BA" w:rsidRPr="00B406D7">
        <w:rPr>
          <w:rFonts w:ascii="Verdana" w:hAnsi="Verdana"/>
          <w:color w:val="auto"/>
          <w:lang w:val="es-ES"/>
        </w:rPr>
        <w:t xml:space="preserve">) mejorar la calidad de vida de la </w:t>
      </w:r>
      <w:r w:rsidR="00896E7D" w:rsidRPr="00B406D7">
        <w:rPr>
          <w:rFonts w:ascii="Verdana" w:hAnsi="Verdana"/>
          <w:color w:val="auto"/>
          <w:lang w:val="es-ES"/>
        </w:rPr>
        <w:t xml:space="preserve">población, y </w:t>
      </w:r>
      <w:proofErr w:type="spellStart"/>
      <w:r w:rsidR="001B79FD" w:rsidRPr="00B406D7">
        <w:rPr>
          <w:rFonts w:ascii="Verdana" w:hAnsi="Verdana"/>
          <w:color w:val="auto"/>
          <w:lang w:val="es-ES"/>
        </w:rPr>
        <w:t>i</w:t>
      </w:r>
      <w:r w:rsidR="00896E7D" w:rsidRPr="00B406D7">
        <w:rPr>
          <w:rFonts w:ascii="Verdana" w:hAnsi="Verdana"/>
          <w:color w:val="auto"/>
          <w:lang w:val="es-ES"/>
        </w:rPr>
        <w:t>v</w:t>
      </w:r>
      <w:proofErr w:type="spellEnd"/>
      <w:r w:rsidR="00896E7D" w:rsidRPr="00B406D7">
        <w:rPr>
          <w:rFonts w:ascii="Verdana" w:hAnsi="Verdana"/>
          <w:color w:val="auto"/>
          <w:lang w:val="es-ES"/>
        </w:rPr>
        <w:t>)</w:t>
      </w:r>
      <w:r w:rsidR="00430541" w:rsidRPr="00B406D7">
        <w:rPr>
          <w:rFonts w:ascii="Verdana" w:hAnsi="Verdana"/>
          <w:color w:val="auto"/>
          <w:lang w:val="es-ES"/>
        </w:rPr>
        <w:t xml:space="preserve"> </w:t>
      </w:r>
      <w:r w:rsidR="00C85098" w:rsidRPr="00B406D7">
        <w:rPr>
          <w:rFonts w:ascii="Verdana" w:hAnsi="Verdana"/>
          <w:color w:val="auto"/>
          <w:lang w:val="es-ES"/>
        </w:rPr>
        <w:t>construir y mejorar la infraestructura de transporte del país</w:t>
      </w:r>
      <w:r w:rsidR="003E7B4A" w:rsidRPr="00B406D7">
        <w:rPr>
          <w:rFonts w:ascii="Verdana" w:hAnsi="Verdana"/>
          <w:color w:val="auto"/>
          <w:lang w:val="es-ES"/>
        </w:rPr>
        <w:t xml:space="preserve">, </w:t>
      </w:r>
      <w:r w:rsidR="00D67D90" w:rsidRPr="00B406D7">
        <w:rPr>
          <w:rFonts w:ascii="Verdana" w:hAnsi="Verdana"/>
          <w:color w:val="auto"/>
          <w:lang w:val="es-ES"/>
        </w:rPr>
        <w:t xml:space="preserve">de cara </w:t>
      </w:r>
      <w:r w:rsidR="0096690B" w:rsidRPr="00B406D7">
        <w:rPr>
          <w:rFonts w:ascii="Verdana" w:hAnsi="Verdana"/>
          <w:color w:val="auto"/>
          <w:lang w:val="es-ES"/>
        </w:rPr>
        <w:t xml:space="preserve">a nuevos retos identificados dentro del </w:t>
      </w:r>
      <w:r w:rsidR="00F91C94" w:rsidRPr="00B406D7">
        <w:rPr>
          <w:rFonts w:ascii="Verdana" w:hAnsi="Verdana"/>
          <w:color w:val="auto"/>
          <w:lang w:val="es-ES"/>
        </w:rPr>
        <w:t xml:space="preserve">sector. </w:t>
      </w:r>
    </w:p>
    <w:p w14:paraId="2D521E91" w14:textId="77777777" w:rsidR="00A41C21" w:rsidRPr="00B406D7" w:rsidRDefault="00A41C21">
      <w:pPr>
        <w:pStyle w:val="Normal11pt"/>
        <w:ind w:left="0" w:right="51"/>
        <w:rPr>
          <w:rFonts w:ascii="Verdana" w:hAnsi="Verdana"/>
          <w:color w:val="auto"/>
          <w:lang w:val="es-CO"/>
        </w:rPr>
      </w:pPr>
    </w:p>
    <w:p w14:paraId="4314511E" w14:textId="08970D8A" w:rsidR="00A41C21" w:rsidRPr="00B406D7" w:rsidRDefault="00A41C21">
      <w:pPr>
        <w:tabs>
          <w:tab w:val="left" w:pos="284"/>
        </w:tabs>
        <w:spacing w:line="240" w:lineRule="auto"/>
        <w:jc w:val="both"/>
        <w:rPr>
          <w:rFonts w:ascii="Verdana" w:eastAsia="Times New Roman" w:hAnsi="Verdana" w:cs="Arial"/>
          <w:lang w:val="es-CO" w:eastAsia="es-ES"/>
        </w:rPr>
      </w:pPr>
      <w:r w:rsidRPr="00B406D7">
        <w:rPr>
          <w:rFonts w:ascii="Verdana" w:eastAsia="Times New Roman" w:hAnsi="Verdana" w:cs="Arial"/>
          <w:lang w:val="es-CO" w:eastAsia="es-ES"/>
        </w:rPr>
        <w:t>No es necesario disponer de tiempo ni de medios, por parte del Ministerio de Hacienda y Crédito Público, para que los destinatarios del proyecto de</w:t>
      </w:r>
      <w:r w:rsidR="005E2E16" w:rsidRPr="00B406D7">
        <w:rPr>
          <w:rFonts w:ascii="Verdana" w:eastAsia="Times New Roman" w:hAnsi="Verdana" w:cs="Arial"/>
          <w:lang w:val="es-CO" w:eastAsia="es-ES"/>
        </w:rPr>
        <w:t xml:space="preserve"> la</w:t>
      </w:r>
      <w:r w:rsidRPr="00B406D7">
        <w:rPr>
          <w:rFonts w:ascii="Verdana" w:eastAsia="Times New Roman" w:hAnsi="Verdana" w:cs="Arial"/>
          <w:lang w:val="es-CO" w:eastAsia="es-ES"/>
        </w:rPr>
        <w:t xml:space="preserve"> </w:t>
      </w:r>
      <w:r w:rsidR="00BE30FA" w:rsidRPr="00B406D7">
        <w:rPr>
          <w:rFonts w:ascii="Verdana" w:eastAsia="Times New Roman" w:hAnsi="Verdana" w:cs="Arial"/>
          <w:lang w:val="es-CO" w:eastAsia="es-ES"/>
        </w:rPr>
        <w:t xml:space="preserve">resolución </w:t>
      </w:r>
      <w:r w:rsidRPr="00B406D7">
        <w:rPr>
          <w:rFonts w:ascii="Verdana" w:eastAsia="Times New Roman" w:hAnsi="Verdana" w:cs="Arial"/>
          <w:lang w:val="es-CO" w:eastAsia="es-ES"/>
        </w:rPr>
        <w:t>apliquen su contenido.</w:t>
      </w:r>
    </w:p>
    <w:p w14:paraId="1C8D10F8" w14:textId="32F28674" w:rsidR="00367127" w:rsidRPr="00081F52" w:rsidRDefault="00A41C21" w:rsidP="000151FD">
      <w:pPr>
        <w:tabs>
          <w:tab w:val="left" w:pos="284"/>
        </w:tabs>
        <w:spacing w:line="240" w:lineRule="auto"/>
        <w:jc w:val="both"/>
        <w:rPr>
          <w:rFonts w:ascii="Verdana" w:eastAsia="Times New Roman" w:hAnsi="Verdana" w:cs="Arial"/>
          <w:lang w:val="es-CO" w:eastAsia="es-ES"/>
        </w:rPr>
      </w:pPr>
      <w:r w:rsidRPr="00B406D7">
        <w:rPr>
          <w:rFonts w:ascii="Verdana" w:eastAsia="Times New Roman" w:hAnsi="Verdana" w:cs="Arial"/>
          <w:lang w:val="es-CO" w:eastAsia="es-ES"/>
        </w:rPr>
        <w:t xml:space="preserve">El proyecto tampoco tiene impacto en el Presupuesto General de la Nación, y no genera impacto fiscal. </w:t>
      </w:r>
      <w:r w:rsidR="009034B7" w:rsidRPr="00B406D7">
        <w:rPr>
          <w:rFonts w:ascii="Verdana" w:hAnsi="Verdana" w:cs="Arial"/>
        </w:rPr>
        <w:t>La expedición de est</w:t>
      </w:r>
      <w:r w:rsidR="0008665C" w:rsidRPr="00B406D7">
        <w:rPr>
          <w:rFonts w:ascii="Verdana" w:hAnsi="Verdana" w:cs="Arial"/>
        </w:rPr>
        <w:t>a</w:t>
      </w:r>
      <w:r w:rsidR="009034B7" w:rsidRPr="00B406D7">
        <w:rPr>
          <w:rFonts w:ascii="Verdana" w:hAnsi="Verdana" w:cs="Arial"/>
        </w:rPr>
        <w:t xml:space="preserve"> </w:t>
      </w:r>
      <w:r w:rsidR="0008665C" w:rsidRPr="00B406D7">
        <w:rPr>
          <w:rFonts w:ascii="Verdana" w:hAnsi="Verdana" w:cs="Arial"/>
        </w:rPr>
        <w:t>resolución</w:t>
      </w:r>
      <w:r w:rsidR="009034B7" w:rsidRPr="00B406D7">
        <w:rPr>
          <w:rFonts w:ascii="Verdana" w:hAnsi="Verdana" w:cs="Arial"/>
        </w:rPr>
        <w:t xml:space="preserve"> no implica impacto ambiental ni ecológico y tampoco se generan impactos sobre el patrimonio.</w:t>
      </w:r>
    </w:p>
    <w:p w14:paraId="3C64618E" w14:textId="77777777" w:rsidR="00712D2C" w:rsidRDefault="00712D2C" w:rsidP="000151FD">
      <w:pPr>
        <w:tabs>
          <w:tab w:val="left" w:pos="284"/>
        </w:tabs>
        <w:spacing w:line="240" w:lineRule="auto"/>
        <w:jc w:val="both"/>
        <w:rPr>
          <w:rFonts w:ascii="Verdana" w:hAnsi="Verdana" w:cs="Arial"/>
        </w:rPr>
      </w:pPr>
    </w:p>
    <w:p w14:paraId="6D0A0AF0" w14:textId="77777777" w:rsidR="00712D2C" w:rsidRDefault="00712D2C" w:rsidP="000151FD">
      <w:pPr>
        <w:tabs>
          <w:tab w:val="left" w:pos="284"/>
        </w:tabs>
        <w:spacing w:line="240" w:lineRule="auto"/>
        <w:jc w:val="both"/>
        <w:rPr>
          <w:rFonts w:ascii="Verdana" w:hAnsi="Verdana" w:cs="Arial"/>
        </w:rPr>
      </w:pPr>
    </w:p>
    <w:p w14:paraId="3D23DF74" w14:textId="77777777" w:rsidR="00712D2C" w:rsidRPr="00B406D7" w:rsidRDefault="00712D2C" w:rsidP="000151FD">
      <w:pPr>
        <w:tabs>
          <w:tab w:val="left" w:pos="284"/>
        </w:tabs>
        <w:spacing w:line="240" w:lineRule="auto"/>
        <w:jc w:val="both"/>
        <w:rPr>
          <w:rFonts w:ascii="Verdana" w:hAnsi="Verdana" w:cs="Arial"/>
        </w:rPr>
      </w:pPr>
    </w:p>
    <w:tbl>
      <w:tblPr>
        <w:tblStyle w:val="Tablaconcuadrcula3"/>
        <w:tblW w:w="49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7"/>
      </w:tblGrid>
      <w:tr w:rsidR="001E33AA" w:rsidRPr="00B406D7" w14:paraId="3A44C744" w14:textId="77777777" w:rsidTr="005A0C07">
        <w:trPr>
          <w:trHeight w:val="300"/>
          <w:jc w:val="center"/>
        </w:trPr>
        <w:tc>
          <w:tcPr>
            <w:tcW w:w="4937" w:type="dxa"/>
          </w:tcPr>
          <w:p w14:paraId="2FDBCD9C" w14:textId="50AB8A1F" w:rsidR="001E33AA" w:rsidRPr="00B406D7" w:rsidRDefault="001E33AA" w:rsidP="00E43A07">
            <w:pPr>
              <w:jc w:val="center"/>
              <w:rPr>
                <w:rFonts w:ascii="Verdana" w:eastAsia="Calibri" w:hAnsi="Verdana" w:cs="Arial"/>
                <w:b/>
                <w:bCs/>
              </w:rPr>
            </w:pPr>
            <w:r w:rsidRPr="00B406D7">
              <w:rPr>
                <w:rFonts w:ascii="Verdana" w:eastAsia="Calibri" w:hAnsi="Verdana" w:cs="Arial"/>
                <w:b/>
                <w:bCs/>
              </w:rPr>
              <w:t>CRISTOBAL PADILLA TEJ</w:t>
            </w:r>
            <w:r w:rsidR="00712D2C">
              <w:rPr>
                <w:rFonts w:ascii="Verdana" w:eastAsia="Calibri" w:hAnsi="Verdana" w:cs="Arial"/>
                <w:b/>
                <w:bCs/>
              </w:rPr>
              <w:t>E</w:t>
            </w:r>
            <w:r w:rsidRPr="00B406D7">
              <w:rPr>
                <w:rFonts w:ascii="Verdana" w:eastAsia="Calibri" w:hAnsi="Verdana" w:cs="Arial"/>
                <w:b/>
                <w:bCs/>
              </w:rPr>
              <w:t>DA</w:t>
            </w:r>
          </w:p>
          <w:p w14:paraId="31B6807F" w14:textId="4735BCDD" w:rsidR="003C3B4C" w:rsidRPr="00B406D7" w:rsidRDefault="00E43A07" w:rsidP="00E43A07">
            <w:pPr>
              <w:jc w:val="center"/>
              <w:rPr>
                <w:rFonts w:ascii="Verdana" w:eastAsia="Calibri" w:hAnsi="Verdana" w:cs="Arial"/>
                <w:b/>
                <w:bCs/>
              </w:rPr>
            </w:pPr>
            <w:r w:rsidRPr="00B406D7">
              <w:rPr>
                <w:rFonts w:ascii="Verdana" w:eastAsia="Calibri" w:hAnsi="Verdana" w:cs="Arial"/>
                <w:b/>
                <w:bCs/>
              </w:rPr>
              <w:t>Director General</w:t>
            </w:r>
          </w:p>
          <w:p w14:paraId="212C444B" w14:textId="7DFFFCB6" w:rsidR="001E33AA" w:rsidRPr="00B406D7" w:rsidRDefault="00E43A07" w:rsidP="00E43A07">
            <w:pPr>
              <w:jc w:val="center"/>
              <w:rPr>
                <w:rFonts w:ascii="Verdana" w:eastAsia="Calibri" w:hAnsi="Verdana" w:cs="Arial"/>
                <w:b/>
                <w:bCs/>
              </w:rPr>
            </w:pPr>
            <w:r w:rsidRPr="00B406D7">
              <w:rPr>
                <w:rFonts w:ascii="Verdana" w:eastAsia="Calibri" w:hAnsi="Verdana" w:cs="Arial"/>
                <w:b/>
                <w:bCs/>
              </w:rPr>
              <w:t>Colombia Compra Eficiente</w:t>
            </w:r>
          </w:p>
        </w:tc>
      </w:tr>
    </w:tbl>
    <w:p w14:paraId="7B9D4342" w14:textId="77777777" w:rsidR="001E33AA" w:rsidRPr="00B406D7" w:rsidRDefault="001E33AA" w:rsidP="001E33AA">
      <w:pPr>
        <w:rPr>
          <w:rFonts w:ascii="Verdana" w:eastAsia="Calibri" w:hAnsi="Verdana" w:cs="Arial"/>
        </w:rPr>
      </w:pPr>
      <w:r w:rsidRPr="00B406D7">
        <w:rPr>
          <w:rFonts w:ascii="Verdana" w:eastAsia="Calibri" w:hAnsi="Verdana" w:cs="Arial"/>
        </w:rPr>
        <w:t xml:space="preserve"> </w:t>
      </w:r>
    </w:p>
    <w:p w14:paraId="5B2A26B9" w14:textId="77777777" w:rsidR="001E33AA" w:rsidRPr="00712D2C" w:rsidDel="005A464D" w:rsidRDefault="001E33AA" w:rsidP="001E33AA">
      <w:pPr>
        <w:spacing w:after="0"/>
        <w:rPr>
          <w:rFonts w:ascii="Verdana" w:hAnsi="Verdana" w:cs="Arial"/>
          <w:sz w:val="16"/>
          <w:szCs w:val="16"/>
        </w:rPr>
      </w:pPr>
      <w:bookmarkStart w:id="4" w:name="_Hlk146698794"/>
      <w:bookmarkEnd w:id="4"/>
    </w:p>
    <w:tbl>
      <w:tblPr>
        <w:tblStyle w:val="Tablaconcuadrcula"/>
        <w:tblW w:w="662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
        <w:gridCol w:w="5628"/>
      </w:tblGrid>
      <w:tr w:rsidR="001E33AA" w:rsidRPr="00712D2C" w14:paraId="4D76D5AA" w14:textId="77777777" w:rsidTr="005A0C07">
        <w:trPr>
          <w:trHeight w:val="315"/>
        </w:trPr>
        <w:tc>
          <w:tcPr>
            <w:tcW w:w="1001" w:type="dxa"/>
            <w:vAlign w:val="center"/>
            <w:hideMark/>
          </w:tcPr>
          <w:p w14:paraId="7B1C68D6" w14:textId="77777777" w:rsidR="001E33AA" w:rsidRPr="00712D2C" w:rsidRDefault="001E33AA" w:rsidP="005A0C07">
            <w:pPr>
              <w:rPr>
                <w:rFonts w:ascii="Verdana" w:eastAsia="Calibri" w:hAnsi="Verdana" w:cs="Arial"/>
                <w:sz w:val="16"/>
                <w:szCs w:val="16"/>
                <w:lang w:eastAsia="es-ES"/>
              </w:rPr>
            </w:pPr>
            <w:r w:rsidRPr="00712D2C">
              <w:rPr>
                <w:rFonts w:ascii="Verdana" w:eastAsia="Calibri" w:hAnsi="Verdana" w:cs="Arial"/>
                <w:sz w:val="16"/>
                <w:szCs w:val="16"/>
                <w:lang w:eastAsia="es-ES"/>
              </w:rPr>
              <w:t>Elaboró:</w:t>
            </w:r>
          </w:p>
        </w:tc>
        <w:tc>
          <w:tcPr>
            <w:tcW w:w="5628" w:type="dxa"/>
            <w:tcBorders>
              <w:top w:val="nil"/>
              <w:left w:val="nil"/>
              <w:bottom w:val="dotted" w:sz="4" w:space="0" w:color="7F7F7F" w:themeColor="text1" w:themeTint="80"/>
              <w:right w:val="nil"/>
            </w:tcBorders>
            <w:vAlign w:val="center"/>
            <w:hideMark/>
          </w:tcPr>
          <w:p w14:paraId="0BEECD96" w14:textId="77777777" w:rsidR="001E33AA" w:rsidRPr="00712D2C" w:rsidRDefault="001E33AA" w:rsidP="005A0C07">
            <w:pPr>
              <w:rPr>
                <w:rFonts w:ascii="Verdana" w:eastAsia="Arial" w:hAnsi="Verdana" w:cs="Arial"/>
                <w:sz w:val="16"/>
                <w:szCs w:val="16"/>
              </w:rPr>
            </w:pPr>
            <w:r w:rsidRPr="00712D2C">
              <w:rPr>
                <w:rFonts w:ascii="Verdana" w:eastAsia="Arial" w:hAnsi="Verdana" w:cs="Arial"/>
                <w:sz w:val="16"/>
                <w:szCs w:val="16"/>
              </w:rPr>
              <w:t xml:space="preserve">Kevin </w:t>
            </w:r>
            <w:proofErr w:type="spellStart"/>
            <w:r w:rsidRPr="00712D2C">
              <w:rPr>
                <w:rFonts w:ascii="Verdana" w:eastAsia="Arial" w:hAnsi="Verdana" w:cs="Arial"/>
                <w:sz w:val="16"/>
                <w:szCs w:val="16"/>
              </w:rPr>
              <w:t>Arlid</w:t>
            </w:r>
            <w:proofErr w:type="spellEnd"/>
            <w:r w:rsidRPr="00712D2C">
              <w:rPr>
                <w:rFonts w:ascii="Verdana" w:eastAsia="Arial" w:hAnsi="Verdana" w:cs="Arial"/>
                <w:sz w:val="16"/>
                <w:szCs w:val="16"/>
              </w:rPr>
              <w:t xml:space="preserve"> Herrera Santa</w:t>
            </w:r>
          </w:p>
          <w:p w14:paraId="6351A013" w14:textId="77777777" w:rsidR="001E33AA" w:rsidRPr="00712D2C" w:rsidRDefault="001E33AA" w:rsidP="005A0C07">
            <w:pPr>
              <w:rPr>
                <w:rFonts w:ascii="Verdana" w:eastAsia="Arial" w:hAnsi="Verdana" w:cs="Arial"/>
                <w:sz w:val="16"/>
                <w:szCs w:val="16"/>
              </w:rPr>
            </w:pPr>
            <w:r w:rsidRPr="00712D2C">
              <w:rPr>
                <w:rFonts w:ascii="Verdana" w:eastAsia="Arial" w:hAnsi="Verdana" w:cs="Arial"/>
                <w:sz w:val="16"/>
                <w:szCs w:val="16"/>
              </w:rPr>
              <w:t>Contratista de la Subdirección de Gestión Contractual</w:t>
            </w:r>
          </w:p>
        </w:tc>
      </w:tr>
      <w:tr w:rsidR="001E33AA" w:rsidRPr="00712D2C" w14:paraId="36619D35" w14:textId="77777777" w:rsidTr="005A0C07">
        <w:trPr>
          <w:trHeight w:val="330"/>
        </w:trPr>
        <w:tc>
          <w:tcPr>
            <w:tcW w:w="1001" w:type="dxa"/>
            <w:vAlign w:val="center"/>
            <w:hideMark/>
          </w:tcPr>
          <w:p w14:paraId="62EFAFA6" w14:textId="77777777" w:rsidR="001E33AA" w:rsidRPr="00712D2C" w:rsidRDefault="001E33AA" w:rsidP="005A0C07">
            <w:pPr>
              <w:rPr>
                <w:rFonts w:ascii="Verdana" w:eastAsia="Calibri" w:hAnsi="Verdana" w:cs="Arial"/>
                <w:sz w:val="16"/>
                <w:szCs w:val="16"/>
                <w:lang w:eastAsia="es-ES"/>
              </w:rPr>
            </w:pPr>
            <w:r w:rsidRPr="00712D2C">
              <w:rPr>
                <w:rFonts w:ascii="Verdana" w:eastAsia="Calibri" w:hAnsi="Verdana" w:cs="Arial"/>
                <w:sz w:val="16"/>
                <w:szCs w:val="16"/>
                <w:lang w:eastAsia="es-ES"/>
              </w:rPr>
              <w:t>Revisó:</w:t>
            </w:r>
          </w:p>
        </w:tc>
        <w:tc>
          <w:tcPr>
            <w:tcW w:w="5628" w:type="dxa"/>
            <w:tcBorders>
              <w:top w:val="dotted" w:sz="4" w:space="0" w:color="7F7F7F" w:themeColor="text1" w:themeTint="80"/>
              <w:left w:val="nil"/>
              <w:bottom w:val="dotted" w:sz="4" w:space="0" w:color="7F7F7F" w:themeColor="text1" w:themeTint="80"/>
              <w:right w:val="nil"/>
            </w:tcBorders>
            <w:vAlign w:val="center"/>
            <w:hideMark/>
          </w:tcPr>
          <w:p w14:paraId="20326BCB" w14:textId="77777777" w:rsidR="001E33AA" w:rsidRPr="00712D2C" w:rsidRDefault="001E33AA" w:rsidP="005A0C07">
            <w:pPr>
              <w:textAlignment w:val="baseline"/>
              <w:rPr>
                <w:rFonts w:ascii="Verdana" w:eastAsia="Times New Roman" w:hAnsi="Verdana" w:cs="Arial"/>
                <w:sz w:val="16"/>
                <w:szCs w:val="16"/>
                <w:lang w:eastAsia="es-ES"/>
              </w:rPr>
            </w:pPr>
            <w:r w:rsidRPr="00712D2C">
              <w:rPr>
                <w:rFonts w:ascii="Verdana" w:eastAsia="Times New Roman" w:hAnsi="Verdana" w:cs="Arial"/>
                <w:sz w:val="16"/>
                <w:szCs w:val="16"/>
                <w:lang w:eastAsia="es-ES"/>
              </w:rPr>
              <w:t>Martha Alicia Romero Vargas</w:t>
            </w:r>
          </w:p>
          <w:p w14:paraId="495E0138" w14:textId="77777777" w:rsidR="001E33AA" w:rsidRPr="00712D2C" w:rsidRDefault="001E33AA" w:rsidP="005A0C07">
            <w:pPr>
              <w:textAlignment w:val="baseline"/>
              <w:rPr>
                <w:rFonts w:ascii="Verdana" w:eastAsia="Times New Roman" w:hAnsi="Verdana" w:cs="Arial"/>
                <w:sz w:val="16"/>
                <w:szCs w:val="16"/>
                <w:lang w:eastAsia="es-ES"/>
              </w:rPr>
            </w:pPr>
            <w:r w:rsidRPr="00712D2C">
              <w:rPr>
                <w:rFonts w:ascii="Verdana" w:eastAsia="Times New Roman" w:hAnsi="Verdana" w:cs="Arial"/>
                <w:sz w:val="16"/>
                <w:szCs w:val="16"/>
                <w:lang w:eastAsia="es-ES"/>
              </w:rPr>
              <w:t>Gestor T1-15 de la Subdirección de Gestión Contractual </w:t>
            </w:r>
          </w:p>
        </w:tc>
      </w:tr>
      <w:tr w:rsidR="001E33AA" w:rsidRPr="00712D2C" w14:paraId="63CAA01B" w14:textId="77777777" w:rsidTr="005A0C07">
        <w:trPr>
          <w:trHeight w:val="300"/>
        </w:trPr>
        <w:tc>
          <w:tcPr>
            <w:tcW w:w="1001" w:type="dxa"/>
            <w:vAlign w:val="center"/>
          </w:tcPr>
          <w:p w14:paraId="59D8C841" w14:textId="77777777" w:rsidR="001E33AA" w:rsidRPr="00712D2C" w:rsidRDefault="001E33AA" w:rsidP="005A0C07">
            <w:pPr>
              <w:rPr>
                <w:rFonts w:ascii="Verdana" w:eastAsia="Calibri" w:hAnsi="Verdana" w:cs="Arial"/>
                <w:sz w:val="16"/>
                <w:szCs w:val="16"/>
                <w:lang w:eastAsia="es-ES"/>
              </w:rPr>
            </w:pPr>
            <w:r w:rsidRPr="00712D2C">
              <w:rPr>
                <w:rFonts w:ascii="Verdana" w:eastAsia="Calibri" w:hAnsi="Verdana" w:cs="Arial"/>
                <w:sz w:val="16"/>
                <w:szCs w:val="16"/>
                <w:lang w:eastAsia="es-ES"/>
              </w:rPr>
              <w:t>Revisó y Aprobó:</w:t>
            </w:r>
          </w:p>
        </w:tc>
        <w:tc>
          <w:tcPr>
            <w:tcW w:w="5628" w:type="dxa"/>
            <w:tcBorders>
              <w:top w:val="dotted" w:sz="4" w:space="0" w:color="7F7F7F" w:themeColor="text1" w:themeTint="80"/>
              <w:left w:val="nil"/>
              <w:bottom w:val="dotted" w:sz="4" w:space="0" w:color="7F7F7F" w:themeColor="text1" w:themeTint="80"/>
              <w:right w:val="nil"/>
            </w:tcBorders>
            <w:vAlign w:val="center"/>
          </w:tcPr>
          <w:p w14:paraId="6C8742D2" w14:textId="77777777" w:rsidR="001E33AA" w:rsidRPr="00712D2C" w:rsidRDefault="001E33AA" w:rsidP="005A0C07">
            <w:pPr>
              <w:rPr>
                <w:rFonts w:ascii="Verdana" w:eastAsia="Calibri" w:hAnsi="Verdana" w:cs="Arial"/>
                <w:sz w:val="16"/>
                <w:szCs w:val="16"/>
                <w:lang w:val="pt-BR" w:eastAsia="es-ES"/>
              </w:rPr>
            </w:pPr>
            <w:r w:rsidRPr="00712D2C">
              <w:rPr>
                <w:rFonts w:ascii="Verdana" w:eastAsia="Calibri" w:hAnsi="Verdana" w:cs="Arial"/>
                <w:sz w:val="16"/>
                <w:szCs w:val="16"/>
                <w:lang w:val="pt-BR" w:eastAsia="es-ES"/>
              </w:rPr>
              <w:t>Carolina Quintero Gacharná</w:t>
            </w:r>
          </w:p>
          <w:p w14:paraId="1C1B70FF" w14:textId="6450E7AA" w:rsidR="001E33AA" w:rsidRPr="00712D2C" w:rsidRDefault="001E33AA" w:rsidP="005A0C07">
            <w:pPr>
              <w:rPr>
                <w:rFonts w:ascii="Verdana" w:eastAsia="Calibri" w:hAnsi="Verdana" w:cs="Arial"/>
                <w:sz w:val="16"/>
                <w:szCs w:val="16"/>
                <w:lang w:val="pt-BR" w:eastAsia="es-ES"/>
              </w:rPr>
            </w:pPr>
            <w:r w:rsidRPr="00712D2C">
              <w:rPr>
                <w:rFonts w:ascii="Verdana" w:eastAsia="Calibri" w:hAnsi="Verdana" w:cs="Arial"/>
                <w:sz w:val="16"/>
                <w:szCs w:val="16"/>
                <w:lang w:eastAsia="es-ES"/>
              </w:rPr>
              <w:t>Subdirectora</w:t>
            </w:r>
            <w:r w:rsidRPr="00712D2C">
              <w:rPr>
                <w:rFonts w:ascii="Verdana" w:eastAsia="Calibri" w:hAnsi="Verdana" w:cs="Arial"/>
                <w:sz w:val="16"/>
                <w:szCs w:val="16"/>
                <w:lang w:val="pt-BR" w:eastAsia="es-ES"/>
              </w:rPr>
              <w:t xml:space="preserve"> de Gestión </w:t>
            </w:r>
            <w:proofErr w:type="spellStart"/>
            <w:r w:rsidRPr="00712D2C">
              <w:rPr>
                <w:rFonts w:ascii="Verdana" w:eastAsia="Calibri" w:hAnsi="Verdana" w:cs="Arial"/>
                <w:sz w:val="16"/>
                <w:szCs w:val="16"/>
                <w:lang w:val="pt-BR" w:eastAsia="es-ES"/>
              </w:rPr>
              <w:t>Contra</w:t>
            </w:r>
            <w:r w:rsidR="00337403" w:rsidRPr="00712D2C">
              <w:rPr>
                <w:rFonts w:ascii="Verdana" w:eastAsia="Calibri" w:hAnsi="Verdana" w:cs="Arial"/>
                <w:sz w:val="16"/>
                <w:szCs w:val="16"/>
                <w:lang w:val="pt-BR" w:eastAsia="es-ES"/>
              </w:rPr>
              <w:t>c</w:t>
            </w:r>
            <w:r w:rsidRPr="00712D2C">
              <w:rPr>
                <w:rFonts w:ascii="Verdana" w:eastAsia="Calibri" w:hAnsi="Verdana" w:cs="Arial"/>
                <w:sz w:val="16"/>
                <w:szCs w:val="16"/>
                <w:lang w:val="pt-BR" w:eastAsia="es-ES"/>
              </w:rPr>
              <w:t>tual</w:t>
            </w:r>
            <w:proofErr w:type="spellEnd"/>
            <w:r w:rsidRPr="00712D2C">
              <w:rPr>
                <w:rFonts w:ascii="Verdana" w:eastAsia="Calibri" w:hAnsi="Verdana" w:cs="Arial"/>
                <w:sz w:val="16"/>
                <w:szCs w:val="16"/>
                <w:lang w:val="pt-BR" w:eastAsia="es-ES"/>
              </w:rPr>
              <w:t xml:space="preserve"> ANCP – CCE</w:t>
            </w:r>
          </w:p>
        </w:tc>
      </w:tr>
      <w:tr w:rsidR="001E33AA" w:rsidRPr="00712D2C" w14:paraId="7B48F676" w14:textId="77777777" w:rsidTr="005A0C07">
        <w:trPr>
          <w:trHeight w:val="259"/>
        </w:trPr>
        <w:tc>
          <w:tcPr>
            <w:tcW w:w="1001" w:type="dxa"/>
            <w:vAlign w:val="center"/>
          </w:tcPr>
          <w:p w14:paraId="6F6D11DC" w14:textId="77777777" w:rsidR="001E33AA" w:rsidRPr="00712D2C" w:rsidRDefault="001E33AA" w:rsidP="005A0C07">
            <w:pPr>
              <w:rPr>
                <w:rFonts w:ascii="Verdana" w:eastAsia="Calibri" w:hAnsi="Verdana" w:cs="Arial"/>
                <w:sz w:val="16"/>
                <w:szCs w:val="16"/>
                <w:lang w:eastAsia="es-ES"/>
              </w:rPr>
            </w:pPr>
            <w:r w:rsidRPr="00712D2C">
              <w:rPr>
                <w:rFonts w:ascii="Verdana" w:eastAsia="Calibri" w:hAnsi="Verdana" w:cs="Arial"/>
                <w:sz w:val="16"/>
                <w:szCs w:val="16"/>
                <w:lang w:eastAsia="es-ES"/>
              </w:rPr>
              <w:t>Anexo:</w:t>
            </w:r>
          </w:p>
        </w:tc>
        <w:tc>
          <w:tcPr>
            <w:tcW w:w="5628" w:type="dxa"/>
            <w:tcBorders>
              <w:top w:val="dotted" w:sz="4" w:space="0" w:color="7F7F7F" w:themeColor="text1" w:themeTint="80"/>
              <w:left w:val="nil"/>
              <w:bottom w:val="dotted" w:sz="4" w:space="0" w:color="7F7F7F" w:themeColor="text1" w:themeTint="80"/>
              <w:right w:val="nil"/>
            </w:tcBorders>
            <w:vAlign w:val="center"/>
          </w:tcPr>
          <w:p w14:paraId="46530DE5" w14:textId="06DA03B4" w:rsidR="001E33AA" w:rsidRPr="00712D2C" w:rsidRDefault="001E33AA" w:rsidP="005A0C07">
            <w:pPr>
              <w:rPr>
                <w:rFonts w:ascii="Verdana" w:eastAsia="Calibri" w:hAnsi="Verdana" w:cs="Arial"/>
                <w:sz w:val="16"/>
                <w:szCs w:val="16"/>
                <w:lang w:val="pt-BR" w:eastAsia="es-ES"/>
              </w:rPr>
            </w:pPr>
            <w:proofErr w:type="spellStart"/>
            <w:r w:rsidRPr="00712D2C">
              <w:rPr>
                <w:rFonts w:ascii="Verdana" w:eastAsia="Calibri" w:hAnsi="Verdana" w:cs="Arial"/>
                <w:sz w:val="16"/>
                <w:szCs w:val="16"/>
                <w:lang w:val="pt-BR" w:eastAsia="es-ES"/>
              </w:rPr>
              <w:t>Análisis</w:t>
            </w:r>
            <w:proofErr w:type="spellEnd"/>
            <w:r w:rsidRPr="00712D2C">
              <w:rPr>
                <w:rFonts w:ascii="Verdana" w:eastAsia="Calibri" w:hAnsi="Verdana" w:cs="Arial"/>
                <w:sz w:val="16"/>
                <w:szCs w:val="16"/>
                <w:lang w:val="pt-BR" w:eastAsia="es-ES"/>
              </w:rPr>
              <w:t xml:space="preserve"> </w:t>
            </w:r>
            <w:proofErr w:type="spellStart"/>
            <w:r w:rsidRPr="00712D2C">
              <w:rPr>
                <w:rFonts w:ascii="Verdana" w:eastAsia="Calibri" w:hAnsi="Verdana" w:cs="Arial"/>
                <w:sz w:val="16"/>
                <w:szCs w:val="16"/>
                <w:lang w:val="pt-BR" w:eastAsia="es-ES"/>
              </w:rPr>
              <w:t>Sectorial</w:t>
            </w:r>
            <w:proofErr w:type="spellEnd"/>
            <w:r w:rsidRPr="00712D2C">
              <w:rPr>
                <w:rFonts w:ascii="Verdana" w:eastAsia="Calibri" w:hAnsi="Verdana" w:cs="Arial"/>
                <w:sz w:val="16"/>
                <w:szCs w:val="16"/>
                <w:lang w:val="pt-BR" w:eastAsia="es-ES"/>
              </w:rPr>
              <w:t xml:space="preserve"> Memoria Justificativa – Sector Transporte</w:t>
            </w:r>
          </w:p>
        </w:tc>
      </w:tr>
    </w:tbl>
    <w:p w14:paraId="55395A61" w14:textId="77777777" w:rsidR="006C1DDC" w:rsidRPr="00712D2C" w:rsidRDefault="006C1DDC">
      <w:pPr>
        <w:rPr>
          <w:rFonts w:ascii="Verdana" w:hAnsi="Verdana" w:cs="Arial"/>
          <w:sz w:val="16"/>
          <w:szCs w:val="16"/>
        </w:rPr>
      </w:pPr>
    </w:p>
    <w:sectPr w:rsidR="006C1DDC" w:rsidRPr="00712D2C" w:rsidSect="00081F52">
      <w:headerReference w:type="default" r:id="rId17"/>
      <w:footerReference w:type="default" r:id="rId18"/>
      <w:pgSz w:w="12242" w:h="15842" w:code="1"/>
      <w:pgMar w:top="1701" w:right="1327" w:bottom="1701" w:left="1276"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AAE78" w14:textId="77777777" w:rsidR="00CB3F9E" w:rsidRDefault="00CB3F9E" w:rsidP="009034B7">
      <w:pPr>
        <w:spacing w:after="0" w:line="240" w:lineRule="auto"/>
      </w:pPr>
      <w:r>
        <w:separator/>
      </w:r>
    </w:p>
  </w:endnote>
  <w:endnote w:type="continuationSeparator" w:id="0">
    <w:p w14:paraId="781B51C6" w14:textId="77777777" w:rsidR="00CB3F9E" w:rsidRDefault="00CB3F9E" w:rsidP="009034B7">
      <w:pPr>
        <w:spacing w:after="0" w:line="240" w:lineRule="auto"/>
      </w:pPr>
      <w:r>
        <w:continuationSeparator/>
      </w:r>
    </w:p>
  </w:endnote>
  <w:endnote w:type="continuationNotice" w:id="1">
    <w:p w14:paraId="33CA9C96" w14:textId="77777777" w:rsidR="00CB3F9E" w:rsidRDefault="00CB3F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2000503000000020004"/>
    <w:charset w:val="00"/>
    <w:family w:val="modern"/>
    <w:notTrueType/>
    <w:pitch w:val="variable"/>
    <w:sig w:usb0="A000002F" w:usb1="1000004A" w:usb2="00000000" w:usb3="00000000" w:csb0="000001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097E2" w14:textId="77777777" w:rsidR="00BB2054" w:rsidRDefault="00BB2054" w:rsidP="00081F52">
    <w:pPr>
      <w:pBdr>
        <w:top w:val="single" w:sz="4" w:space="1" w:color="auto"/>
      </w:pBdr>
      <w:spacing w:after="0" w:line="276" w:lineRule="auto"/>
      <w:rPr>
        <w:rFonts w:ascii="Verdana" w:hAnsi="Verdana"/>
        <w:b/>
        <w:bCs/>
        <w:sz w:val="20"/>
        <w:szCs w:val="20"/>
      </w:rPr>
    </w:pPr>
    <w:r w:rsidRPr="008E4D59">
      <w:rPr>
        <w:rFonts w:ascii="Verdana" w:hAnsi="Verdana"/>
        <w:b/>
        <w:bCs/>
        <w:sz w:val="20"/>
        <w:szCs w:val="20"/>
      </w:rPr>
      <w:t>Agencia Nacional de Contratación</w:t>
    </w:r>
    <w:r>
      <w:rPr>
        <w:rFonts w:ascii="Verdana" w:hAnsi="Verdana"/>
        <w:b/>
        <w:bCs/>
        <w:sz w:val="20"/>
        <w:szCs w:val="20"/>
      </w:rPr>
      <w:t xml:space="preserve"> </w:t>
    </w:r>
    <w:r w:rsidRPr="008E4D59">
      <w:rPr>
        <w:rFonts w:ascii="Verdana" w:hAnsi="Verdana"/>
        <w:b/>
        <w:bCs/>
        <w:sz w:val="20"/>
        <w:szCs w:val="20"/>
      </w:rPr>
      <w:t>Pública</w:t>
    </w:r>
    <w:r>
      <w:rPr>
        <w:rFonts w:ascii="Verdana" w:hAnsi="Verdana"/>
        <w:b/>
        <w:bCs/>
        <w:sz w:val="20"/>
        <w:szCs w:val="20"/>
      </w:rPr>
      <w:t xml:space="preserve">                                                  </w:t>
    </w:r>
    <w:r w:rsidRPr="00EF48FB">
      <w:rPr>
        <w:rFonts w:ascii="Verdana" w:hAnsi="Verdana"/>
        <w:b/>
        <w:bCs/>
        <w:sz w:val="16"/>
        <w:szCs w:val="16"/>
      </w:rPr>
      <w:t xml:space="preserve">  </w:t>
    </w:r>
    <w:r w:rsidRPr="00EF48FB">
      <w:rPr>
        <w:rFonts w:ascii="Verdana" w:eastAsiaTheme="majorEastAsia" w:hAnsi="Verdana" w:cstheme="majorBidi"/>
        <w:b/>
        <w:bCs/>
        <w:sz w:val="16"/>
        <w:szCs w:val="16"/>
      </w:rPr>
      <w:t xml:space="preserve">pág. </w:t>
    </w:r>
    <w:r w:rsidRPr="00EF48FB">
      <w:rPr>
        <w:rFonts w:ascii="Verdana" w:eastAsiaTheme="minorEastAsia" w:hAnsi="Verdana"/>
        <w:b/>
        <w:bCs/>
        <w:sz w:val="16"/>
        <w:szCs w:val="16"/>
      </w:rPr>
      <w:fldChar w:fldCharType="begin"/>
    </w:r>
    <w:r w:rsidRPr="00EF48FB">
      <w:rPr>
        <w:rFonts w:ascii="Verdana" w:hAnsi="Verdana"/>
        <w:b/>
        <w:bCs/>
        <w:sz w:val="16"/>
        <w:szCs w:val="16"/>
      </w:rPr>
      <w:instrText>PAGE    \* MERGEFORMAT</w:instrText>
    </w:r>
    <w:r w:rsidRPr="00EF48FB">
      <w:rPr>
        <w:rFonts w:ascii="Verdana" w:eastAsiaTheme="minorEastAsia" w:hAnsi="Verdana"/>
        <w:b/>
        <w:bCs/>
        <w:sz w:val="16"/>
        <w:szCs w:val="16"/>
      </w:rPr>
      <w:fldChar w:fldCharType="separate"/>
    </w:r>
    <w:r>
      <w:rPr>
        <w:rFonts w:ascii="Verdana" w:hAnsi="Verdana"/>
        <w:b/>
        <w:bCs/>
        <w:sz w:val="16"/>
        <w:szCs w:val="16"/>
      </w:rPr>
      <w:t>1</w:t>
    </w:r>
    <w:r w:rsidRPr="00EF48FB">
      <w:rPr>
        <w:rFonts w:ascii="Verdana" w:eastAsiaTheme="majorEastAsia" w:hAnsi="Verdana" w:cstheme="majorBidi"/>
        <w:b/>
        <w:bCs/>
        <w:sz w:val="16"/>
        <w:szCs w:val="16"/>
      </w:rPr>
      <w:fldChar w:fldCharType="end"/>
    </w:r>
  </w:p>
  <w:p w14:paraId="48DFAA8B" w14:textId="77777777" w:rsidR="00BB2054" w:rsidRPr="00174B77" w:rsidRDefault="00BB2054" w:rsidP="00BB2054">
    <w:pPr>
      <w:spacing w:after="0" w:line="276" w:lineRule="auto"/>
      <w:rPr>
        <w:rFonts w:ascii="Verdana" w:hAnsi="Verdana"/>
        <w:b/>
        <w:bCs/>
        <w:sz w:val="20"/>
        <w:szCs w:val="20"/>
      </w:rPr>
    </w:pPr>
    <w:r w:rsidRPr="008E4D59">
      <w:rPr>
        <w:rFonts w:ascii="Verdana" w:hAnsi="Verdana"/>
        <w:b/>
        <w:bCs/>
        <w:sz w:val="20"/>
        <w:szCs w:val="20"/>
      </w:rPr>
      <w:t>Colombia Compra Eficiente</w:t>
    </w:r>
    <w:r>
      <w:rPr>
        <w:rFonts w:ascii="Verdana" w:hAnsi="Verdana"/>
        <w:b/>
        <w:bCs/>
        <w:sz w:val="20"/>
        <w:szCs w:val="20"/>
      </w:rPr>
      <w:t xml:space="preserve">      </w:t>
    </w:r>
  </w:p>
  <w:p w14:paraId="479E707C" w14:textId="77777777" w:rsidR="00BB2054" w:rsidRDefault="00BB2054" w:rsidP="00BB2054">
    <w:pPr>
      <w:spacing w:after="0" w:line="276" w:lineRule="auto"/>
      <w:jc w:val="both"/>
      <w:rPr>
        <w:rFonts w:ascii="Verdana" w:hAnsi="Verdana"/>
        <w:sz w:val="18"/>
        <w:szCs w:val="18"/>
      </w:rPr>
    </w:pPr>
    <w:r w:rsidRPr="00E41027">
      <w:rPr>
        <w:rFonts w:ascii="Verdana" w:hAnsi="Verdana"/>
        <w:sz w:val="18"/>
        <w:szCs w:val="18"/>
      </w:rPr>
      <w:t>Dirección: Carrera 7 # 26 – 20 - Bogotá, Colombia</w:t>
    </w:r>
  </w:p>
  <w:p w14:paraId="244E24A8" w14:textId="77777777" w:rsidR="00BB2054" w:rsidRPr="00E41027" w:rsidRDefault="00BB2054" w:rsidP="00BB2054">
    <w:pPr>
      <w:spacing w:after="0" w:line="276" w:lineRule="auto"/>
      <w:jc w:val="both"/>
      <w:rPr>
        <w:rFonts w:ascii="Verdana" w:hAnsi="Verdana"/>
        <w:sz w:val="18"/>
        <w:szCs w:val="18"/>
      </w:rPr>
    </w:pPr>
    <w:r w:rsidRPr="00E41027">
      <w:rPr>
        <w:rFonts w:ascii="Verdana" w:hAnsi="Verdana"/>
        <w:sz w:val="18"/>
        <w:szCs w:val="18"/>
      </w:rPr>
      <w:t>Mesa de servicio: (+57) 601 7456788</w:t>
    </w:r>
  </w:p>
  <w:p w14:paraId="5E016EB2" w14:textId="2571B370" w:rsidR="00A31D67" w:rsidRPr="00081F52" w:rsidRDefault="00BB2054" w:rsidP="00836CDA">
    <w:pPr>
      <w:pStyle w:val="Piedepgina"/>
      <w:rPr>
        <w:sz w:val="20"/>
        <w:szCs w:val="20"/>
      </w:rPr>
    </w:pPr>
    <w:r w:rsidRPr="00E41027">
      <w:rPr>
        <w:rFonts w:ascii="Verdana" w:hAnsi="Verdana"/>
        <w:sz w:val="18"/>
        <w:szCs w:val="18"/>
      </w:rPr>
      <w:t>Atención al ciudadano:</w:t>
    </w:r>
    <w:r>
      <w:rPr>
        <w:rFonts w:ascii="Verdana" w:hAnsi="Verdana"/>
        <w:sz w:val="18"/>
        <w:szCs w:val="18"/>
      </w:rPr>
      <w:t xml:space="preserve"> </w:t>
    </w:r>
    <w:r w:rsidRPr="00E41027">
      <w:rPr>
        <w:rFonts w:ascii="Verdana" w:hAnsi="Verdana"/>
        <w:sz w:val="18"/>
        <w:szCs w:val="18"/>
      </w:rPr>
      <w:t>(+57) 601 7956600</w:t>
    </w:r>
    <w:r>
      <w:rPr>
        <w:rFonts w:ascii="Verdana" w:hAnsi="Verdana"/>
        <w:sz w:val="20"/>
        <w:szCs w:val="20"/>
      </w:rPr>
      <w:t xml:space="preserve">    </w:t>
    </w:r>
    <w:r w:rsidR="00AF138C" w:rsidRPr="00712D2C">
      <w:rPr>
        <w:rFonts w:ascii="Verdana" w:hAnsi="Verdana"/>
        <w:sz w:val="16"/>
        <w:szCs w:val="16"/>
      </w:rPr>
      <w:t>Código: CCE-EICP-IDI-</w:t>
    </w:r>
    <w:r w:rsidR="00712D2C" w:rsidRPr="00712D2C">
      <w:rPr>
        <w:rFonts w:ascii="Verdana" w:hAnsi="Verdana"/>
        <w:sz w:val="16"/>
        <w:szCs w:val="16"/>
      </w:rPr>
      <w:t xml:space="preserve">56 Versión:01 Fecha: 28-12-223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7CD23" w14:textId="77777777" w:rsidR="00CB3F9E" w:rsidRDefault="00CB3F9E" w:rsidP="009034B7">
      <w:pPr>
        <w:spacing w:after="0" w:line="240" w:lineRule="auto"/>
      </w:pPr>
      <w:r>
        <w:separator/>
      </w:r>
    </w:p>
  </w:footnote>
  <w:footnote w:type="continuationSeparator" w:id="0">
    <w:p w14:paraId="04695026" w14:textId="77777777" w:rsidR="00CB3F9E" w:rsidRDefault="00CB3F9E" w:rsidP="009034B7">
      <w:pPr>
        <w:spacing w:after="0" w:line="240" w:lineRule="auto"/>
      </w:pPr>
      <w:r>
        <w:continuationSeparator/>
      </w:r>
    </w:p>
  </w:footnote>
  <w:footnote w:type="continuationNotice" w:id="1">
    <w:p w14:paraId="1053960D" w14:textId="77777777" w:rsidR="00CB3F9E" w:rsidRDefault="00CB3F9E">
      <w:pPr>
        <w:spacing w:after="0" w:line="240" w:lineRule="auto"/>
      </w:pPr>
    </w:p>
  </w:footnote>
  <w:footnote w:id="2">
    <w:p w14:paraId="3107EB55" w14:textId="46B74268" w:rsidR="00A03E80" w:rsidRDefault="001A1190" w:rsidP="00F11478">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 xml:space="preserve">Ley </w:t>
      </w:r>
      <w:r w:rsidR="002326AC" w:rsidRPr="00F11478">
        <w:rPr>
          <w:rFonts w:ascii="Arial" w:hAnsi="Arial" w:cs="Arial"/>
          <w:sz w:val="18"/>
          <w:szCs w:val="18"/>
          <w:lang w:val="es-MX"/>
        </w:rPr>
        <w:t xml:space="preserve">2294 de 2023. Plan Nacional de Desarrollo 2022-2026 “Colombia Potencia Mundial de la Vida”. Artículo </w:t>
      </w:r>
      <w:r w:rsidR="00A03E80" w:rsidRPr="00F11478">
        <w:rPr>
          <w:rFonts w:ascii="Arial" w:hAnsi="Arial" w:cs="Arial"/>
          <w:sz w:val="18"/>
          <w:szCs w:val="18"/>
          <w:lang w:val="es-MX"/>
        </w:rPr>
        <w:t>1.</w:t>
      </w:r>
    </w:p>
    <w:p w14:paraId="152AFC08" w14:textId="77777777" w:rsidR="00F11478" w:rsidRPr="00F11478" w:rsidRDefault="00F11478" w:rsidP="00F11478">
      <w:pPr>
        <w:pStyle w:val="Textonotapie"/>
        <w:snapToGrid w:val="0"/>
        <w:ind w:firstLine="709"/>
        <w:jc w:val="both"/>
        <w:rPr>
          <w:rFonts w:ascii="Arial" w:hAnsi="Arial" w:cs="Arial"/>
          <w:sz w:val="18"/>
          <w:szCs w:val="18"/>
          <w:lang w:val="es-MX"/>
        </w:rPr>
      </w:pPr>
    </w:p>
  </w:footnote>
  <w:footnote w:id="3">
    <w:p w14:paraId="5A832905" w14:textId="2B99048C" w:rsidR="00A03E80" w:rsidRPr="00F11478" w:rsidRDefault="00A03E80" w:rsidP="00F11478">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 xml:space="preserve">Ley 2294 de 2023. Plan Nacional de Desarrollo 2022-2026 “Colombia Potencia Mundial de la Vida”. Artículo </w:t>
      </w:r>
      <w:r w:rsidR="00621666" w:rsidRPr="00F11478">
        <w:rPr>
          <w:rFonts w:ascii="Arial" w:hAnsi="Arial" w:cs="Arial"/>
          <w:sz w:val="18"/>
          <w:szCs w:val="18"/>
          <w:lang w:val="es-MX"/>
        </w:rPr>
        <w:t>4.</w:t>
      </w:r>
    </w:p>
  </w:footnote>
  <w:footnote w:id="4">
    <w:p w14:paraId="3E248269" w14:textId="22A70908" w:rsidR="0066730E" w:rsidRPr="00F11478" w:rsidRDefault="0066730E" w:rsidP="00F11478">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 xml:space="preserve">Esta información fue tomada </w:t>
      </w:r>
      <w:r w:rsidR="00CF5CDA" w:rsidRPr="00F11478">
        <w:rPr>
          <w:rFonts w:ascii="Arial" w:hAnsi="Arial" w:cs="Arial"/>
          <w:sz w:val="18"/>
          <w:szCs w:val="18"/>
          <w:lang w:val="es-MX"/>
        </w:rPr>
        <w:t>de: https://onl.dnp.gov.co/Paginas/Estrategia-conectividad-regional.aspx.</w:t>
      </w:r>
    </w:p>
  </w:footnote>
  <w:footnote w:id="5">
    <w:p w14:paraId="4B838CA2" w14:textId="77777777" w:rsidR="00D243DC" w:rsidRPr="005A0C07" w:rsidRDefault="00D243DC" w:rsidP="00D243DC">
      <w:pPr>
        <w:pStyle w:val="Textonotapie"/>
        <w:ind w:firstLine="709"/>
        <w:jc w:val="both"/>
        <w:rPr>
          <w:rFonts w:ascii="Arial" w:hAnsi="Arial" w:cs="Arial"/>
          <w:sz w:val="18"/>
          <w:szCs w:val="18"/>
          <w:lang w:val="es-MX"/>
        </w:rPr>
      </w:pPr>
      <w:r w:rsidRPr="0097335A">
        <w:rPr>
          <w:rStyle w:val="Refdenotaalpie"/>
          <w:rFonts w:ascii="Arial" w:hAnsi="Arial" w:cs="Arial"/>
          <w:sz w:val="18"/>
          <w:szCs w:val="18"/>
        </w:rPr>
        <w:footnoteRef/>
      </w:r>
      <w:r w:rsidRPr="0097335A">
        <w:rPr>
          <w:rFonts w:ascii="Arial" w:hAnsi="Arial" w:cs="Arial"/>
          <w:sz w:val="18"/>
          <w:szCs w:val="18"/>
        </w:rPr>
        <w:t xml:space="preserve"> </w:t>
      </w:r>
      <w:r w:rsidRPr="0097335A">
        <w:rPr>
          <w:rFonts w:ascii="Arial" w:hAnsi="Arial" w:cs="Arial"/>
          <w:sz w:val="18"/>
          <w:szCs w:val="18"/>
          <w:lang w:val="es-MX"/>
        </w:rPr>
        <w:t xml:space="preserve">Tomado de: Observatorio Nacional de Logística, “Plan Maestro de Transporte Intermodal 2021-2051”. Disponible en: </w:t>
      </w:r>
      <w:hyperlink r:id="rId1" w:history="1">
        <w:r w:rsidRPr="0097335A">
          <w:rPr>
            <w:rStyle w:val="Hipervnculo"/>
            <w:rFonts w:ascii="Arial" w:hAnsi="Arial" w:cs="Arial"/>
            <w:sz w:val="18"/>
            <w:szCs w:val="18"/>
            <w:lang w:val="es-MX"/>
          </w:rPr>
          <w:t>https://onl.dnp.gov.co/Paginas/Plan-Maestro-Transporte-Intermodal-PMTI.aspx</w:t>
        </w:r>
      </w:hyperlink>
      <w:r w:rsidRPr="0097335A">
        <w:rPr>
          <w:rFonts w:ascii="Arial" w:hAnsi="Arial" w:cs="Arial"/>
          <w:sz w:val="18"/>
          <w:szCs w:val="18"/>
          <w:lang w:val="es-MX"/>
        </w:rPr>
        <w:t xml:space="preserve"> </w:t>
      </w:r>
    </w:p>
  </w:footnote>
  <w:footnote w:id="6">
    <w:p w14:paraId="2EEBFD43" w14:textId="77777777" w:rsidR="006361D9" w:rsidRDefault="006361D9" w:rsidP="006361D9">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El texto vigente del ar</w:t>
      </w:r>
      <w:r>
        <w:rPr>
          <w:rFonts w:ascii="Arial" w:hAnsi="Arial" w:cs="Arial"/>
          <w:sz w:val="18"/>
          <w:szCs w:val="18"/>
          <w:lang w:val="es-MX"/>
        </w:rPr>
        <w:t>tículo 2.2.1.2.4.2.19</w:t>
      </w:r>
      <w:r w:rsidRPr="00F11478">
        <w:rPr>
          <w:rFonts w:ascii="Arial" w:hAnsi="Arial" w:cs="Arial"/>
          <w:sz w:val="18"/>
          <w:szCs w:val="18"/>
          <w:lang w:val="es-MX"/>
        </w:rPr>
        <w:t xml:space="preserve"> del Decreto 1082 de 2015 es el siguiente: “</w:t>
      </w:r>
      <w:r w:rsidRPr="000E270D">
        <w:rPr>
          <w:rFonts w:ascii="Arial" w:hAnsi="Arial" w:cs="Arial"/>
          <w:sz w:val="18"/>
          <w:szCs w:val="18"/>
          <w:lang w:val="es-MX"/>
        </w:rPr>
        <w:t xml:space="preserve">Artículo 2.2.1.2.4.2.19. División en lotes o segmentos. Las entidades estatales promoverán la división de procesos de contratación en lotes o segmentos que faciliten la participación de las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atendiendo a criterios tales como: i) el tipo de entregable, </w:t>
      </w:r>
      <w:proofErr w:type="spellStart"/>
      <w:r w:rsidRPr="000E270D">
        <w:rPr>
          <w:rFonts w:ascii="Arial" w:hAnsi="Arial" w:cs="Arial"/>
          <w:sz w:val="18"/>
          <w:szCs w:val="18"/>
          <w:lang w:val="es-MX"/>
        </w:rPr>
        <w:t>ii</w:t>
      </w:r>
      <w:proofErr w:type="spellEnd"/>
      <w:r w:rsidRPr="000E270D">
        <w:rPr>
          <w:rFonts w:ascii="Arial" w:hAnsi="Arial" w:cs="Arial"/>
          <w:sz w:val="18"/>
          <w:szCs w:val="18"/>
          <w:lang w:val="es-MX"/>
        </w:rPr>
        <w:t xml:space="preserve">) el valor del contrato y </w:t>
      </w:r>
      <w:proofErr w:type="spellStart"/>
      <w:r w:rsidRPr="000E270D">
        <w:rPr>
          <w:rFonts w:ascii="Arial" w:hAnsi="Arial" w:cs="Arial"/>
          <w:sz w:val="18"/>
          <w:szCs w:val="18"/>
          <w:lang w:val="es-MX"/>
        </w:rPr>
        <w:t>iii</w:t>
      </w:r>
      <w:proofErr w:type="spellEnd"/>
      <w:r w:rsidRPr="000E270D">
        <w:rPr>
          <w:rFonts w:ascii="Arial" w:hAnsi="Arial" w:cs="Arial"/>
          <w:sz w:val="18"/>
          <w:szCs w:val="18"/>
          <w:lang w:val="es-MX"/>
        </w:rPr>
        <w:t xml:space="preserve">) el ámbito geográfico de la entrega. Para el efecto, las entidades estatales deberán tener en cuenta el análisis del sector económico y de los oferentes en los términos establecidos en el artículo 2.2.1.1 .1.6.1. de presente Decreto. </w:t>
      </w:r>
    </w:p>
    <w:p w14:paraId="2E5FC2FD" w14:textId="77777777" w:rsidR="006361D9" w:rsidRPr="000E270D" w:rsidRDefault="006361D9" w:rsidP="006361D9">
      <w:pPr>
        <w:pStyle w:val="Textonotapie"/>
        <w:snapToGrid w:val="0"/>
        <w:ind w:firstLine="709"/>
        <w:jc w:val="both"/>
        <w:rPr>
          <w:rFonts w:ascii="Arial" w:hAnsi="Arial" w:cs="Arial"/>
          <w:sz w:val="18"/>
          <w:szCs w:val="18"/>
          <w:lang w:val="es-MX"/>
        </w:rPr>
      </w:pPr>
    </w:p>
    <w:p w14:paraId="2AC840F9" w14:textId="77777777" w:rsidR="006361D9" w:rsidRPr="000E270D" w:rsidRDefault="006361D9" w:rsidP="006361D9">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Dentro de estas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se encuentran entre otras, las cooperativas de acuerdo con los requisitos del artículo 23 de la Ley 2069 de 2020 o las que se constituyan como entidades de economía solidaria de acuerdo con los requisitos del artículo 6 de la Ley 454 de 1998 o la norma que las modifique o sustituya. </w:t>
      </w:r>
    </w:p>
    <w:p w14:paraId="5F715ADC" w14:textId="77777777" w:rsidR="006361D9" w:rsidRPr="000E270D" w:rsidRDefault="006361D9" w:rsidP="006361D9">
      <w:pPr>
        <w:pStyle w:val="Textonotapie"/>
        <w:snapToGrid w:val="0"/>
        <w:ind w:firstLine="709"/>
        <w:jc w:val="both"/>
        <w:rPr>
          <w:rFonts w:ascii="Arial" w:hAnsi="Arial" w:cs="Arial"/>
          <w:sz w:val="18"/>
          <w:szCs w:val="18"/>
          <w:lang w:val="es-MX"/>
        </w:rPr>
      </w:pPr>
    </w:p>
    <w:p w14:paraId="1AB791ED" w14:textId="77777777" w:rsidR="006361D9" w:rsidRPr="000E270D" w:rsidRDefault="006361D9" w:rsidP="006361D9">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Las asociaciones conformadas por sujetos de especial protección constitucional, asociaciones de pequeños productores locales y productores locales agropecuarios cuyos sistemas productivos pertenezcan a la Agricultura Campesina, Familiar y Comunitaria podrán ser clasificadas como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en los términos previstos en el artículo 23 de la Ley 2069 de 2020, el artículo 2 de la Ley 590 de 2000 y por el Decreto 957 de 2019 o las normas que los modifiquen.</w:t>
      </w:r>
    </w:p>
    <w:p w14:paraId="0F65E913" w14:textId="77777777" w:rsidR="006361D9" w:rsidRPr="000E270D" w:rsidRDefault="006361D9" w:rsidP="006361D9">
      <w:pPr>
        <w:pStyle w:val="Textonotapie"/>
        <w:snapToGrid w:val="0"/>
        <w:ind w:firstLine="709"/>
        <w:jc w:val="both"/>
        <w:rPr>
          <w:rFonts w:ascii="Arial" w:hAnsi="Arial" w:cs="Arial"/>
          <w:sz w:val="18"/>
          <w:szCs w:val="18"/>
          <w:lang w:val="es-MX"/>
        </w:rPr>
      </w:pPr>
    </w:p>
    <w:p w14:paraId="53AB2550" w14:textId="77777777" w:rsidR="006361D9" w:rsidRPr="000E270D" w:rsidRDefault="006361D9" w:rsidP="006361D9">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Las entidades estatales podrán incluir en el pliego de condiciones mecanismos o reglas que limiten el número de lotes que se adjudican a un mismo proponente, con el fin de evitar que se concentre la contratación, sobre la base de criterios objetivos y no discriminatorios. La decisión de no adjudicar un contrato en lotes o segmentos podrá obedecer entre otras razones, a que mediante este mecanismo se pueda restringir la competencia o que la segmentación del mercado pueda conducir a que la ejecución del contrato sea imposible desde el punto de vista técnico o económico. </w:t>
      </w:r>
    </w:p>
    <w:p w14:paraId="67C35CBB" w14:textId="77777777" w:rsidR="006361D9" w:rsidRPr="000E270D" w:rsidRDefault="006361D9" w:rsidP="006361D9">
      <w:pPr>
        <w:pStyle w:val="Textonotapie"/>
        <w:snapToGrid w:val="0"/>
        <w:ind w:firstLine="709"/>
        <w:jc w:val="both"/>
        <w:rPr>
          <w:rFonts w:ascii="Arial" w:hAnsi="Arial" w:cs="Arial"/>
          <w:sz w:val="18"/>
          <w:szCs w:val="18"/>
          <w:lang w:val="es-MX"/>
        </w:rPr>
      </w:pPr>
    </w:p>
    <w:p w14:paraId="4CC956A3" w14:textId="77777777" w:rsidR="006361D9" w:rsidRPr="00F11478" w:rsidRDefault="006361D9" w:rsidP="006361D9">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Parágrafo. En los Procesos de Contratación adelantados por lotes o grupos deberá aplicarse lo regulado en el artículo 2.2.1.2.4.2.2. del presente Decreto, tomando en consideración el valor del Proceso de Contratación imputable al respectivo lote en el que se solicite su aplicación. De igual manera será aplicable lo previsto en el artículo 2.2.1.2.4.2.3. a partir del lugar de ejecución del contrato asociado al respectivo lote o segmento</w:t>
      </w:r>
      <w:r>
        <w:rPr>
          <w:rFonts w:ascii="Arial" w:hAnsi="Arial" w:cs="Arial"/>
          <w:sz w:val="18"/>
          <w:szCs w:val="18"/>
          <w:lang w:val="es-MX"/>
        </w:rPr>
        <w:t>.</w:t>
      </w:r>
      <w:r w:rsidRPr="000E270D">
        <w:rPr>
          <w:rFonts w:ascii="Arial" w:hAnsi="Arial" w:cs="Arial"/>
          <w:sz w:val="18"/>
          <w:szCs w:val="18"/>
          <w:lang w:val="es-MX"/>
        </w:rPr>
        <w:t>"</w:t>
      </w:r>
    </w:p>
    <w:p w14:paraId="630D89D9" w14:textId="77777777" w:rsidR="006361D9" w:rsidRPr="00F11478" w:rsidRDefault="006361D9" w:rsidP="006361D9">
      <w:pPr>
        <w:pStyle w:val="Textonotapie"/>
        <w:snapToGrid w:val="0"/>
        <w:ind w:firstLine="709"/>
        <w:jc w:val="both"/>
        <w:rPr>
          <w:rFonts w:ascii="Arial" w:hAnsi="Arial" w:cs="Arial"/>
          <w:sz w:val="18"/>
          <w:szCs w:val="18"/>
          <w:lang w:val="es-MX"/>
        </w:rPr>
      </w:pPr>
    </w:p>
  </w:footnote>
  <w:footnote w:id="7">
    <w:p w14:paraId="1177BDC6" w14:textId="77777777" w:rsidR="00057D78" w:rsidRPr="005A0C07" w:rsidRDefault="00057D78" w:rsidP="00057D78">
      <w:pPr>
        <w:pStyle w:val="Textonotapie"/>
        <w:ind w:firstLine="709"/>
        <w:jc w:val="both"/>
        <w:rPr>
          <w:rFonts w:ascii="Arial" w:hAnsi="Arial" w:cs="Arial"/>
          <w:sz w:val="18"/>
          <w:szCs w:val="18"/>
          <w:lang w:val="es-MX"/>
        </w:rPr>
      </w:pPr>
      <w:r w:rsidRPr="005A0C07">
        <w:rPr>
          <w:rStyle w:val="Refdenotaalpie"/>
          <w:rFonts w:ascii="Arial" w:hAnsi="Arial" w:cs="Arial"/>
          <w:sz w:val="18"/>
          <w:szCs w:val="18"/>
        </w:rPr>
        <w:footnoteRef/>
      </w:r>
      <w:r w:rsidRPr="005A0C07">
        <w:rPr>
          <w:rFonts w:ascii="Arial" w:hAnsi="Arial" w:cs="Arial"/>
          <w:sz w:val="18"/>
          <w:szCs w:val="18"/>
        </w:rPr>
        <w:t xml:space="preserve"> </w:t>
      </w:r>
      <w:r w:rsidRPr="005A0C07">
        <w:rPr>
          <w:rFonts w:ascii="Arial" w:hAnsi="Arial" w:cs="Arial"/>
          <w:sz w:val="18"/>
          <w:szCs w:val="18"/>
          <w:lang w:val="es-MX"/>
        </w:rPr>
        <w:t>Subdirección de Estudios de Mercado y Abastecimiento Estratégico ANCP – CCE. “Cubo del Gasto Sector Transporte 2024”, p. 14.</w:t>
      </w:r>
    </w:p>
  </w:footnote>
  <w:footnote w:id="8">
    <w:p w14:paraId="14DED450" w14:textId="77777777" w:rsidR="00500582" w:rsidRPr="004A243A" w:rsidRDefault="00500582" w:rsidP="004A243A">
      <w:pPr>
        <w:pStyle w:val="Textonotapie"/>
        <w:ind w:firstLine="709"/>
        <w:rPr>
          <w:rFonts w:ascii="Arial" w:hAnsi="Arial" w:cs="Arial"/>
          <w:sz w:val="18"/>
          <w:szCs w:val="18"/>
          <w:lang w:val="es-ES"/>
        </w:rPr>
      </w:pPr>
      <w:r w:rsidRPr="004A243A">
        <w:rPr>
          <w:rStyle w:val="Refdenotaalpie"/>
          <w:rFonts w:ascii="Arial" w:hAnsi="Arial" w:cs="Arial"/>
          <w:sz w:val="18"/>
          <w:szCs w:val="18"/>
        </w:rPr>
        <w:footnoteRef/>
      </w:r>
      <w:r w:rsidRPr="004A243A">
        <w:rPr>
          <w:rFonts w:ascii="Arial" w:hAnsi="Arial" w:cs="Arial"/>
          <w:sz w:val="18"/>
          <w:szCs w:val="18"/>
        </w:rPr>
        <w:t xml:space="preserve"> Caicedo-García, E.; Sarmiento, J.; Hernández, R. (2022). INFLACIÓN Y COVID-19: UN EJERCICIO PARA COLOMBIA. </w:t>
      </w:r>
      <w:r w:rsidRPr="004A243A">
        <w:rPr>
          <w:rFonts w:ascii="Arial" w:hAnsi="Arial" w:cs="Arial"/>
          <w:i/>
          <w:sz w:val="18"/>
          <w:szCs w:val="18"/>
        </w:rPr>
        <w:t>Borradores de Economía; No.1198</w:t>
      </w:r>
      <w:r w:rsidRPr="004A243A">
        <w:rPr>
          <w:rFonts w:ascii="Arial" w:hAnsi="Arial" w:cs="Arial"/>
          <w:sz w:val="18"/>
          <w:szCs w:val="18"/>
        </w:rPr>
        <w:t>. Banco de la República de Colombia. Bogotá.</w:t>
      </w:r>
    </w:p>
  </w:footnote>
  <w:footnote w:id="9">
    <w:p w14:paraId="0C2ABFD3" w14:textId="77777777" w:rsidR="00BE053D" w:rsidRPr="005A0C07" w:rsidRDefault="00BE053D" w:rsidP="00BE053D">
      <w:pPr>
        <w:pStyle w:val="Textonotapie"/>
        <w:ind w:firstLine="709"/>
        <w:rPr>
          <w:lang w:val="es-MX"/>
        </w:rPr>
      </w:pPr>
      <w:r>
        <w:rPr>
          <w:rStyle w:val="Refdenotaalpie"/>
        </w:rPr>
        <w:footnoteRef/>
      </w:r>
      <w:r>
        <w:t xml:space="preserve"> </w:t>
      </w:r>
      <w:r w:rsidRPr="005A0C07">
        <w:rPr>
          <w:rFonts w:ascii="Arial" w:hAnsi="Arial" w:cs="Arial"/>
          <w:sz w:val="18"/>
          <w:szCs w:val="18"/>
          <w:lang w:val="es-MX"/>
        </w:rPr>
        <w:t>Subdirección de Estudios de Mercado y Abastecimiento Estratégico ANCP – CCE. “Cubo del Gasto Sector Transporte 2024”, p. 1</w:t>
      </w:r>
      <w:r>
        <w:rPr>
          <w:rFonts w:ascii="Arial" w:hAnsi="Arial" w:cs="Arial"/>
          <w:sz w:val="18"/>
          <w:szCs w:val="18"/>
          <w:lang w:val="es-MX"/>
        </w:rPr>
        <w:t>6</w:t>
      </w:r>
      <w:r w:rsidRPr="005A0C07">
        <w:rPr>
          <w:rFonts w:ascii="Arial" w:hAnsi="Arial" w:cs="Arial"/>
          <w:sz w:val="18"/>
          <w:szCs w:val="18"/>
          <w:lang w:val="es-MX"/>
        </w:rPr>
        <w:t>.</w:t>
      </w:r>
    </w:p>
  </w:footnote>
  <w:footnote w:id="10">
    <w:p w14:paraId="58EE26E5" w14:textId="77777777" w:rsidR="004B62DD" w:rsidRPr="005A0C07" w:rsidRDefault="004B62DD" w:rsidP="004B62DD">
      <w:pPr>
        <w:pStyle w:val="Textonotapie"/>
        <w:ind w:firstLine="709"/>
        <w:rPr>
          <w:lang w:val="es-MX"/>
        </w:rPr>
      </w:pPr>
      <w:r>
        <w:rPr>
          <w:rStyle w:val="Refdenotaalpie"/>
        </w:rPr>
        <w:footnoteRef/>
      </w:r>
      <w:r>
        <w:t xml:space="preserve"> </w:t>
      </w:r>
      <w:r w:rsidRPr="005A0C07">
        <w:rPr>
          <w:rFonts w:ascii="Arial" w:hAnsi="Arial" w:cs="Arial"/>
          <w:sz w:val="18"/>
          <w:szCs w:val="18"/>
          <w:lang w:val="es-MX"/>
        </w:rPr>
        <w:t>Subdirección de Estudios de Mercado y Abastecimiento Estratégico ANCP – CCE. “Cubo del Gasto Sector Transporte 2024”, p. 1</w:t>
      </w:r>
      <w:r>
        <w:rPr>
          <w:rFonts w:ascii="Arial" w:hAnsi="Arial" w:cs="Arial"/>
          <w:sz w:val="18"/>
          <w:szCs w:val="18"/>
          <w:lang w:val="es-MX"/>
        </w:rPr>
        <w:t>7</w:t>
      </w:r>
      <w:r w:rsidRPr="005A0C07">
        <w:rPr>
          <w:rFonts w:ascii="Arial" w:hAnsi="Arial" w:cs="Arial"/>
          <w:sz w:val="18"/>
          <w:szCs w:val="18"/>
          <w:lang w:val="es-MX"/>
        </w:rPr>
        <w:t>.</w:t>
      </w:r>
    </w:p>
  </w:footnote>
  <w:footnote w:id="11">
    <w:p w14:paraId="41439C7F" w14:textId="77777777" w:rsidR="00AF616A" w:rsidRPr="005A0C07" w:rsidRDefault="00AF616A" w:rsidP="00AF616A">
      <w:pPr>
        <w:pStyle w:val="Textonotapie"/>
        <w:ind w:firstLine="709"/>
        <w:rPr>
          <w:lang w:val="es-MX"/>
        </w:rPr>
      </w:pPr>
      <w:r>
        <w:rPr>
          <w:rStyle w:val="Refdenotaalpie"/>
        </w:rPr>
        <w:footnoteRef/>
      </w:r>
      <w:r>
        <w:t xml:space="preserve"> </w:t>
      </w:r>
      <w:r w:rsidRPr="005A0C07">
        <w:rPr>
          <w:rFonts w:ascii="Arial" w:hAnsi="Arial" w:cs="Arial"/>
          <w:sz w:val="18"/>
          <w:szCs w:val="18"/>
          <w:lang w:val="es-MX"/>
        </w:rPr>
        <w:t xml:space="preserve">Subdirección de Estudios de Mercado y Abastecimiento Estratégico ANCP – CCE. “Cubo del Gasto Sector Transporte 2024”, p. </w:t>
      </w:r>
      <w:r>
        <w:rPr>
          <w:rFonts w:ascii="Arial" w:hAnsi="Arial" w:cs="Arial"/>
          <w:sz w:val="18"/>
          <w:szCs w:val="18"/>
          <w:lang w:val="es-MX"/>
        </w:rPr>
        <w:t>21</w:t>
      </w:r>
      <w:r w:rsidRPr="005A0C07">
        <w:rPr>
          <w:rFonts w:ascii="Arial" w:hAnsi="Arial" w:cs="Arial"/>
          <w:sz w:val="18"/>
          <w:szCs w:val="18"/>
          <w:lang w:val="es-MX"/>
        </w:rPr>
        <w:t>.</w:t>
      </w:r>
    </w:p>
  </w:footnote>
  <w:footnote w:id="12">
    <w:p w14:paraId="6077FD78" w14:textId="77777777" w:rsidR="003740BB" w:rsidRPr="00B406D7" w:rsidRDefault="003740BB" w:rsidP="00F11478">
      <w:pPr>
        <w:pStyle w:val="Textonotapie"/>
        <w:snapToGrid w:val="0"/>
        <w:ind w:firstLine="709"/>
        <w:jc w:val="both"/>
        <w:rPr>
          <w:rFonts w:ascii="Arial" w:hAnsi="Arial" w:cs="Arial"/>
          <w:color w:val="000000" w:themeColor="text1"/>
          <w:sz w:val="18"/>
          <w:szCs w:val="18"/>
          <w:lang w:val="it-IT"/>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Sentencia C-1005 de 2008, Corte Constitucional. </w:t>
      </w:r>
      <w:r w:rsidRPr="00B406D7">
        <w:rPr>
          <w:rFonts w:ascii="Arial" w:hAnsi="Arial" w:cs="Arial"/>
          <w:color w:val="000000" w:themeColor="text1"/>
          <w:sz w:val="18"/>
          <w:szCs w:val="18"/>
          <w:lang w:val="it-IT"/>
        </w:rPr>
        <w:t>M.P: Humberto Antonio Sierra Porto</w:t>
      </w:r>
    </w:p>
    <w:p w14:paraId="7643C94B" w14:textId="77777777" w:rsidR="003740BB" w:rsidRPr="00B406D7" w:rsidRDefault="003740BB" w:rsidP="00F11478">
      <w:pPr>
        <w:pStyle w:val="Textonotapie"/>
        <w:snapToGrid w:val="0"/>
        <w:ind w:firstLine="709"/>
        <w:jc w:val="both"/>
        <w:rPr>
          <w:rFonts w:ascii="Arial" w:hAnsi="Arial" w:cs="Arial"/>
          <w:color w:val="000000" w:themeColor="text1"/>
          <w:sz w:val="18"/>
          <w:szCs w:val="18"/>
          <w:lang w:val="it-IT"/>
        </w:rPr>
      </w:pPr>
    </w:p>
  </w:footnote>
  <w:footnote w:id="13">
    <w:p w14:paraId="218E473F"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Consejo de Estado. Sección Primera. Sentencia del 20 de noviembre de 2014. Rad. 1101-03-24-000-2010-00119-00. C.P. Guillermo Vargas Ayala.</w:t>
      </w:r>
    </w:p>
    <w:p w14:paraId="6A4FFF3F"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4">
    <w:p w14:paraId="19FFF90B" w14:textId="4FCA602A" w:rsidR="003740BB" w:rsidRPr="00F11478" w:rsidRDefault="003740BB" w:rsidP="00F11478">
      <w:pPr>
        <w:snapToGrid w:val="0"/>
        <w:spacing w:after="0" w:line="240" w:lineRule="auto"/>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Al respecto, el Congreso puede dictar normas minuciosamente detalladas, en cuyo caso no será necesaria la expedición de decretos reglamentarios; o puede limitarse a dictar una ley de contenidos generales y dejar al Gobierno nacional la potestad de completar todos los aspectos que sean necesarios para su correcta ejecución. Por su parte, no puede el presidente saturar el ordenamiento, reglamentando lo que ya ha sido objeto de reglamentación por el legislador, pues si se repite con exactitud el contenido de las normas reglamentadas se violaría el principio conocido como </w:t>
      </w:r>
      <w:r w:rsidR="00D9517D" w:rsidRPr="00F11478">
        <w:rPr>
          <w:rFonts w:ascii="Arial" w:hAnsi="Arial" w:cs="Arial"/>
          <w:color w:val="000000" w:themeColor="text1"/>
          <w:sz w:val="18"/>
          <w:szCs w:val="18"/>
        </w:rPr>
        <w:t>“</w:t>
      </w:r>
      <w:r w:rsidRPr="00F11478">
        <w:rPr>
          <w:rFonts w:ascii="Arial" w:hAnsi="Arial" w:cs="Arial"/>
          <w:color w:val="000000" w:themeColor="text1"/>
          <w:sz w:val="18"/>
          <w:szCs w:val="18"/>
        </w:rPr>
        <w:t>prohibición de tautología legal</w:t>
      </w:r>
      <w:r w:rsidR="00D9517D" w:rsidRPr="00F11478">
        <w:rPr>
          <w:rFonts w:ascii="Arial" w:hAnsi="Arial" w:cs="Arial"/>
          <w:color w:val="000000" w:themeColor="text1"/>
          <w:sz w:val="18"/>
          <w:szCs w:val="18"/>
        </w:rPr>
        <w:t>”</w:t>
      </w:r>
      <w:r w:rsidRPr="00F11478">
        <w:rPr>
          <w:rFonts w:ascii="Arial" w:hAnsi="Arial" w:cs="Arial"/>
          <w:color w:val="000000" w:themeColor="text1"/>
          <w:sz w:val="18"/>
          <w:szCs w:val="18"/>
        </w:rPr>
        <w:t xml:space="preserve">. Ver Consejo de Estado. Sección Cuarta. Sentencia del 11 de febrero de 2014. Rad. 11001-03-27-000-2011-00023-00(18973). C.P. Carmen Teresa Ortiz De Rodríguez. </w:t>
      </w:r>
    </w:p>
    <w:p w14:paraId="0C01D6B8" w14:textId="77777777" w:rsidR="003740BB" w:rsidRPr="00F11478" w:rsidRDefault="003740BB" w:rsidP="00F11478">
      <w:pPr>
        <w:snapToGrid w:val="0"/>
        <w:spacing w:after="0" w:line="240" w:lineRule="auto"/>
        <w:ind w:firstLine="709"/>
        <w:jc w:val="both"/>
        <w:rPr>
          <w:rFonts w:ascii="Arial" w:hAnsi="Arial" w:cs="Arial"/>
          <w:color w:val="000000" w:themeColor="text1"/>
          <w:sz w:val="18"/>
          <w:szCs w:val="18"/>
        </w:rPr>
      </w:pPr>
    </w:p>
  </w:footnote>
  <w:footnote w:id="15">
    <w:p w14:paraId="3D96FB6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De acuerdo con la Sentencia C 037 de 2000, si bien la Constitución Política no contiene disposición expresa que determine dicho orden, de su articulado puede deducirse su existencia, así no siempre resulte sencilla esta tarea.  En efecto, diversas disposiciones superiores se refieren a la sujeción de cierto rango de normas frente a otras. Además de ser evidente que las normas constitucionales ocupan, sin discusión, el primer lugar dentro de la jerarquía del ordenamiento jurídico, dentro de la propia Carta, no todas las normas son igualmente prevalentes.</w:t>
      </w:r>
    </w:p>
    <w:p w14:paraId="64377ED9"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6">
    <w:p w14:paraId="400A4245"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Ver entre otras, las Sentencias de la Corte Constitucional C–162 de 2008; C–823 de 2011; C–810 de 2014. Consejo de Estado. Sección Segunda. Sentencia del 21 de octubre de 2010. Rad. 11001-03-25-000-2005-00125-00(5242-05). C.P. Alfonso Vargas Rincón; Consejo de Estado. Sección Tercera. Subsección B. Sentencia del 29 de abril de 2015. Rad. 11001-03-26-000-2004-00044-00(28615). C.P. Stella Conto Díaz del Castillo.</w:t>
      </w:r>
    </w:p>
    <w:p w14:paraId="649D191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7">
    <w:p w14:paraId="79D7B6BB" w14:textId="2D13698B" w:rsidR="003740BB" w:rsidRPr="00F11478" w:rsidRDefault="003740BB" w:rsidP="00F11478">
      <w:pPr>
        <w:pStyle w:val="Textonotapie"/>
        <w:snapToGrid w:val="0"/>
        <w:ind w:firstLine="709"/>
        <w:jc w:val="both"/>
        <w:rPr>
          <w:rFonts w:ascii="Arial" w:hAnsi="Arial" w:cs="Arial"/>
          <w:color w:val="000000" w:themeColor="text1"/>
          <w:sz w:val="18"/>
          <w:szCs w:val="18"/>
          <w:lang w:val="pt-BR"/>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Corte Constitucional, Sentencia C–1005 de 2008. M.P: Humberto Antonio Sierra Porto</w:t>
      </w:r>
      <w:r w:rsidR="00F11478">
        <w:rPr>
          <w:rFonts w:ascii="Arial" w:hAnsi="Arial" w:cs="Arial"/>
          <w:color w:val="000000" w:themeColor="text1"/>
          <w:sz w:val="18"/>
          <w:szCs w:val="18"/>
          <w:lang w:val="pt-BR"/>
        </w:rPr>
        <w:t>.</w:t>
      </w:r>
    </w:p>
    <w:p w14:paraId="638A130D" w14:textId="77777777" w:rsidR="003740BB" w:rsidRPr="00F11478" w:rsidRDefault="003740BB" w:rsidP="00F11478">
      <w:pPr>
        <w:pStyle w:val="Textonotapie"/>
        <w:snapToGrid w:val="0"/>
        <w:ind w:firstLine="709"/>
        <w:jc w:val="both"/>
        <w:rPr>
          <w:rFonts w:ascii="Arial" w:hAnsi="Arial" w:cs="Arial"/>
          <w:color w:val="000000" w:themeColor="text1"/>
          <w:sz w:val="18"/>
          <w:szCs w:val="18"/>
          <w:lang w:val="pt-BR"/>
        </w:rPr>
      </w:pPr>
    </w:p>
  </w:footnote>
  <w:footnote w:id="18">
    <w:p w14:paraId="4309C1F3"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w:t>
      </w:r>
      <w:proofErr w:type="spellStart"/>
      <w:r w:rsidRPr="00F11478">
        <w:rPr>
          <w:rFonts w:ascii="Arial" w:hAnsi="Arial" w:cs="Arial"/>
          <w:color w:val="000000" w:themeColor="text1"/>
          <w:sz w:val="18"/>
          <w:szCs w:val="18"/>
          <w:lang w:val="pt-BR"/>
        </w:rPr>
        <w:t>Consejo</w:t>
      </w:r>
      <w:proofErr w:type="spellEnd"/>
      <w:r w:rsidRPr="00F11478">
        <w:rPr>
          <w:rFonts w:ascii="Arial" w:hAnsi="Arial" w:cs="Arial"/>
          <w:color w:val="000000" w:themeColor="text1"/>
          <w:sz w:val="18"/>
          <w:szCs w:val="18"/>
          <w:lang w:val="pt-BR"/>
        </w:rPr>
        <w:t xml:space="preserve"> de Estado, Sala de </w:t>
      </w:r>
      <w:proofErr w:type="spellStart"/>
      <w:r w:rsidRPr="00F11478">
        <w:rPr>
          <w:rFonts w:ascii="Arial" w:hAnsi="Arial" w:cs="Arial"/>
          <w:color w:val="000000" w:themeColor="text1"/>
          <w:sz w:val="18"/>
          <w:szCs w:val="18"/>
          <w:lang w:val="pt-BR"/>
        </w:rPr>
        <w:t>lo</w:t>
      </w:r>
      <w:proofErr w:type="spellEnd"/>
      <w:r w:rsidRPr="00F11478">
        <w:rPr>
          <w:rFonts w:ascii="Arial" w:hAnsi="Arial" w:cs="Arial"/>
          <w:color w:val="000000" w:themeColor="text1"/>
          <w:sz w:val="18"/>
          <w:szCs w:val="18"/>
          <w:lang w:val="pt-BR"/>
        </w:rPr>
        <w:t xml:space="preserve"> Contencioso Administrativo, </w:t>
      </w:r>
      <w:proofErr w:type="spellStart"/>
      <w:r w:rsidRPr="00F11478">
        <w:rPr>
          <w:rFonts w:ascii="Arial" w:hAnsi="Arial" w:cs="Arial"/>
          <w:color w:val="000000" w:themeColor="text1"/>
          <w:sz w:val="18"/>
          <w:szCs w:val="18"/>
          <w:lang w:val="pt-BR"/>
        </w:rPr>
        <w:t>Sección</w:t>
      </w:r>
      <w:proofErr w:type="spellEnd"/>
      <w:r w:rsidRPr="00F11478">
        <w:rPr>
          <w:rFonts w:ascii="Arial" w:hAnsi="Arial" w:cs="Arial"/>
          <w:color w:val="000000" w:themeColor="text1"/>
          <w:sz w:val="18"/>
          <w:szCs w:val="18"/>
          <w:lang w:val="pt-BR"/>
        </w:rPr>
        <w:t xml:space="preserve"> Primera. C.P.: Juan Alberto Polo Figueroa. </w:t>
      </w:r>
      <w:r w:rsidRPr="00F11478">
        <w:rPr>
          <w:rFonts w:ascii="Arial" w:hAnsi="Arial" w:cs="Arial"/>
          <w:color w:val="000000" w:themeColor="text1"/>
          <w:sz w:val="18"/>
          <w:szCs w:val="18"/>
        </w:rPr>
        <w:t>Bogotá D.C., 24 de agosto de 2000. Radicación número 6096.</w:t>
      </w:r>
    </w:p>
    <w:p w14:paraId="6862542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9">
    <w:p w14:paraId="1F4343F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Artículo 1º del Decreto Ley 4170 de 2011.</w:t>
      </w:r>
    </w:p>
    <w:p w14:paraId="7292645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0">
    <w:p w14:paraId="75205E1B" w14:textId="77777777" w:rsidR="003740BB"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Ver artículo 11 numeral 12 del Decreto Ley 4170 de 2011.</w:t>
      </w:r>
    </w:p>
    <w:p w14:paraId="0234E6BA" w14:textId="77777777" w:rsidR="00F11478" w:rsidRPr="00F11478" w:rsidRDefault="00F11478" w:rsidP="00F11478">
      <w:pPr>
        <w:pStyle w:val="Textonotapie"/>
        <w:snapToGrid w:val="0"/>
        <w:ind w:firstLine="709"/>
        <w:jc w:val="both"/>
        <w:rPr>
          <w:rFonts w:ascii="Arial" w:hAnsi="Arial" w:cs="Arial"/>
          <w:color w:val="000000" w:themeColor="text1"/>
          <w:sz w:val="18"/>
          <w:szCs w:val="18"/>
        </w:rPr>
      </w:pPr>
    </w:p>
  </w:footnote>
  <w:footnote w:id="21">
    <w:p w14:paraId="75C71F6D"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Sección Tercera. Auto del 14 de agosto de 2017. Rad. 58820.</w:t>
      </w:r>
    </w:p>
    <w:p w14:paraId="730D8EE8"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2">
    <w:p w14:paraId="6A30534A"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Consejo de Estado. Sección Tercera. Sentencia del 16 de agosto de 2017. Rad. 56166. </w:t>
      </w:r>
    </w:p>
    <w:p w14:paraId="5AF82535"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3">
    <w:p w14:paraId="7CB84E99" w14:textId="5F56D92A"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Ib</w:t>
      </w:r>
      <w:r w:rsidR="00F11478">
        <w:rPr>
          <w:rFonts w:ascii="Arial" w:hAnsi="Arial" w:cs="Arial"/>
          <w:color w:val="000000" w:themeColor="text1"/>
          <w:sz w:val="18"/>
          <w:szCs w:val="18"/>
        </w:rPr>
        <w:t>i</w:t>
      </w:r>
      <w:r w:rsidRPr="00F11478">
        <w:rPr>
          <w:rFonts w:ascii="Arial" w:hAnsi="Arial" w:cs="Arial"/>
          <w:color w:val="000000" w:themeColor="text1"/>
          <w:sz w:val="18"/>
          <w:szCs w:val="18"/>
        </w:rPr>
        <w:t xml:space="preserve">dem. </w:t>
      </w:r>
    </w:p>
    <w:p w14:paraId="45AC367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4">
    <w:p w14:paraId="7AB19EC8" w14:textId="77777777" w:rsidR="003740BB"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Sección Tercera. Sentencia de 11 de abril de 2019. Rad. 52.055.</w:t>
      </w:r>
    </w:p>
    <w:p w14:paraId="2C74B9E3" w14:textId="77777777" w:rsidR="00F11478" w:rsidRPr="00F11478" w:rsidRDefault="00F11478" w:rsidP="00F11478">
      <w:pPr>
        <w:pStyle w:val="Textonotapie"/>
        <w:snapToGrid w:val="0"/>
        <w:ind w:firstLine="709"/>
        <w:jc w:val="both"/>
        <w:rPr>
          <w:rFonts w:ascii="Arial" w:hAnsi="Arial" w:cs="Arial"/>
          <w:color w:val="000000" w:themeColor="text1"/>
          <w:sz w:val="18"/>
          <w:szCs w:val="18"/>
        </w:rPr>
      </w:pPr>
    </w:p>
  </w:footnote>
  <w:footnote w:id="25">
    <w:p w14:paraId="0B256A0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Ibidem.  </w:t>
      </w:r>
    </w:p>
  </w:footnote>
  <w:footnote w:id="26">
    <w:p w14:paraId="35613C53"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Sala de Consulta y Servicio Civil. Concepto del 9 de julio de 1996, rad. 854.</w:t>
      </w:r>
    </w:p>
  </w:footnote>
  <w:footnote w:id="27">
    <w:p w14:paraId="15FC0D69" w14:textId="77777777" w:rsidR="00A34601" w:rsidRPr="00F11478" w:rsidRDefault="00A34601" w:rsidP="00F11478">
      <w:pPr>
        <w:pStyle w:val="Textonotapie"/>
        <w:snapToGrid w:val="0"/>
        <w:ind w:firstLine="709"/>
        <w:jc w:val="both"/>
        <w:rPr>
          <w:rFonts w:ascii="Arial" w:hAnsi="Arial" w:cs="Arial"/>
          <w:color w:val="000000" w:themeColor="text1"/>
          <w:sz w:val="18"/>
          <w:szCs w:val="18"/>
          <w:lang w:val="pt-BR"/>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lang w:val="pt-BR"/>
        </w:rPr>
        <w:t xml:space="preserve"> </w:t>
      </w:r>
      <w:r w:rsidRPr="00F11478">
        <w:rPr>
          <w:rFonts w:ascii="Arial" w:hAnsi="Arial" w:cs="Arial"/>
          <w:color w:val="000000" w:themeColor="text1"/>
          <w:sz w:val="18"/>
          <w:szCs w:val="18"/>
          <w:lang w:val="pt-BR"/>
        </w:rPr>
        <w:t>Corte Constitucional, Sentencia C-506 de 1995.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1A011" w14:textId="0B2486AA" w:rsidR="00713264" w:rsidRDefault="00081F52" w:rsidP="00713264">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noProof/>
        <w:color w:val="000000"/>
        <w:szCs w:val="24"/>
      </w:rPr>
      <w:drawing>
        <wp:anchor distT="0" distB="0" distL="114300" distR="114300" simplePos="0" relativeHeight="251664384" behindDoc="1" locked="0" layoutInCell="1" allowOverlap="1" wp14:anchorId="5EED118A" wp14:editId="20A70141">
          <wp:simplePos x="0" y="0"/>
          <wp:positionH relativeFrom="margin">
            <wp:align>center</wp:align>
          </wp:positionH>
          <wp:positionV relativeFrom="paragraph">
            <wp:posOffset>-133350</wp:posOffset>
          </wp:positionV>
          <wp:extent cx="1943200" cy="863644"/>
          <wp:effectExtent l="0" t="0" r="0" b="0"/>
          <wp:wrapNone/>
          <wp:docPr id="13786541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654194" name="Imagen 1"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943200" cy="863644"/>
                  </a:xfrm>
                  <a:prstGeom prst="rect">
                    <a:avLst/>
                  </a:prstGeom>
                </pic:spPr>
              </pic:pic>
            </a:graphicData>
          </a:graphic>
        </wp:anchor>
      </w:drawing>
    </w:r>
  </w:p>
  <w:p w14:paraId="6DD671F8" w14:textId="0E1307F2" w:rsidR="00713264" w:rsidRDefault="00713264" w:rsidP="00713264">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p>
  <w:p w14:paraId="56DF2BAE" w14:textId="77777777" w:rsidR="00713264" w:rsidRDefault="00713264" w:rsidP="00713264">
    <w:pPr>
      <w:pStyle w:val="Titulo1"/>
      <w:pBdr>
        <w:top w:val="nil"/>
        <w:left w:val="nil"/>
        <w:bottom w:val="nil"/>
        <w:right w:val="nil"/>
        <w:between w:val="nil"/>
      </w:pBdr>
      <w:tabs>
        <w:tab w:val="left" w:pos="8838"/>
      </w:tabs>
      <w:spacing w:after="0" w:line="240" w:lineRule="auto"/>
      <w:rPr>
        <w:rFonts w:eastAsia="Times New Roman" w:cs="Times New Roman"/>
        <w:b/>
        <w:bCs/>
        <w:szCs w:val="24"/>
        <w:lang w:val="pt-BR"/>
      </w:rPr>
    </w:pPr>
  </w:p>
  <w:p w14:paraId="356CE82F" w14:textId="77777777" w:rsidR="00B406D7" w:rsidRDefault="00B406D7" w:rsidP="00713264">
    <w:pPr>
      <w:pStyle w:val="Titulo1"/>
      <w:pBdr>
        <w:top w:val="nil"/>
        <w:left w:val="nil"/>
        <w:bottom w:val="nil"/>
        <w:right w:val="nil"/>
        <w:between w:val="nil"/>
      </w:pBdr>
      <w:tabs>
        <w:tab w:val="left" w:pos="4155"/>
      </w:tabs>
      <w:spacing w:after="0" w:line="240" w:lineRule="auto"/>
      <w:rPr>
        <w:rFonts w:ascii="Century Gothic" w:eastAsia="Times New Roman" w:hAnsi="Century Gothic" w:cs="Times New Roman"/>
        <w:b/>
        <w:bCs/>
        <w:color w:val="46589C"/>
        <w:szCs w:val="24"/>
        <w:lang w:val="pt-BR"/>
      </w:rPr>
    </w:pPr>
  </w:p>
  <w:p w14:paraId="4FFBF67E" w14:textId="38AF3ABB" w:rsidR="00713264" w:rsidRPr="00D72AC2" w:rsidRDefault="00713264" w:rsidP="00713264">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46589C"/>
        <w:sz w:val="22"/>
        <w:lang w:val="pt-BR"/>
      </w:rPr>
    </w:pPr>
    <w:r w:rsidRPr="00D72AC2">
      <w:rPr>
        <w:rFonts w:ascii="Verdana" w:eastAsia="Times New Roman" w:hAnsi="Verdana" w:cs="Times New Roman"/>
        <w:b/>
        <w:bCs/>
        <w:color w:val="auto"/>
        <w:sz w:val="22"/>
        <w:lang w:val="pt-BR"/>
      </w:rPr>
      <w:t xml:space="preserve">MEMORIA JUSTIFICATIVA </w:t>
    </w:r>
    <w:r w:rsidRPr="00D72AC2">
      <w:rPr>
        <w:rFonts w:ascii="Verdana" w:eastAsia="Times New Roman" w:hAnsi="Verdana" w:cs="Times New Roman"/>
        <w:b/>
        <w:bCs/>
        <w:color w:val="46589C"/>
        <w:sz w:val="22"/>
        <w:lang w:val="pt-BR"/>
      </w:rPr>
      <w:tab/>
    </w:r>
  </w:p>
  <w:p w14:paraId="1564B61A" w14:textId="77777777" w:rsidR="00713264" w:rsidRPr="00713264" w:rsidRDefault="00713264" w:rsidP="00B406D7">
    <w:pPr>
      <w:pStyle w:val="Titulo1"/>
      <w:pBdr>
        <w:top w:val="nil"/>
        <w:left w:val="nil"/>
        <w:bottom w:val="nil"/>
        <w:right w:val="nil"/>
        <w:between w:val="nil"/>
      </w:pBdr>
      <w:tabs>
        <w:tab w:val="center" w:pos="4419"/>
        <w:tab w:val="right" w:pos="8838"/>
      </w:tabs>
      <w:spacing w:after="0" w:line="120" w:lineRule="auto"/>
      <w:rPr>
        <w:rFonts w:ascii="Century Gothic" w:eastAsia="Times New Roman" w:hAnsi="Century Gothic" w:cs="Times New Roman"/>
        <w:color w:val="000000"/>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CA6"/>
    <w:multiLevelType w:val="multilevel"/>
    <w:tmpl w:val="DD4C6780"/>
    <w:lvl w:ilvl="0">
      <w:start w:val="3"/>
      <w:numFmt w:val="decimal"/>
      <w:lvlText w:val="%1."/>
      <w:lvlJc w:val="left"/>
      <w:pPr>
        <w:ind w:left="360" w:hanging="360"/>
      </w:pPr>
      <w:rPr>
        <w:rFonts w:hint="default"/>
      </w:rPr>
    </w:lvl>
    <w:lvl w:ilvl="1">
      <w:start w:val="1"/>
      <w:numFmt w:val="decimal"/>
      <w:pStyle w:val="Ttulo3"/>
      <w:lvlText w:val="%1.%2."/>
      <w:lvlJc w:val="left"/>
      <w:pPr>
        <w:ind w:left="1723" w:hanging="720"/>
      </w:pPr>
      <w:rPr>
        <w:rFonts w:hint="default"/>
        <w:color w:val="46589C"/>
      </w:rPr>
    </w:lvl>
    <w:lvl w:ilvl="2">
      <w:start w:val="1"/>
      <w:numFmt w:val="decimal"/>
      <w:lvlText w:val="%1.%2.%3."/>
      <w:lvlJc w:val="left"/>
      <w:pPr>
        <w:ind w:left="2726" w:hanging="72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092" w:hanging="1080"/>
      </w:pPr>
      <w:rPr>
        <w:rFonts w:hint="default"/>
      </w:rPr>
    </w:lvl>
    <w:lvl w:ilvl="5">
      <w:start w:val="1"/>
      <w:numFmt w:val="decimal"/>
      <w:lvlText w:val="%1.%2.%3.%4.%5.%6."/>
      <w:lvlJc w:val="left"/>
      <w:pPr>
        <w:ind w:left="6455" w:hanging="1440"/>
      </w:pPr>
      <w:rPr>
        <w:rFonts w:hint="default"/>
      </w:rPr>
    </w:lvl>
    <w:lvl w:ilvl="6">
      <w:start w:val="1"/>
      <w:numFmt w:val="decimal"/>
      <w:lvlText w:val="%1.%2.%3.%4.%5.%6.%7."/>
      <w:lvlJc w:val="left"/>
      <w:pPr>
        <w:ind w:left="7458" w:hanging="1440"/>
      </w:pPr>
      <w:rPr>
        <w:rFonts w:hint="default"/>
      </w:rPr>
    </w:lvl>
    <w:lvl w:ilvl="7">
      <w:start w:val="1"/>
      <w:numFmt w:val="decimal"/>
      <w:lvlText w:val="%1.%2.%3.%4.%5.%6.%7.%8."/>
      <w:lvlJc w:val="left"/>
      <w:pPr>
        <w:ind w:left="8821" w:hanging="1800"/>
      </w:pPr>
      <w:rPr>
        <w:rFonts w:hint="default"/>
      </w:rPr>
    </w:lvl>
    <w:lvl w:ilvl="8">
      <w:start w:val="1"/>
      <w:numFmt w:val="decimal"/>
      <w:lvlText w:val="%1.%2.%3.%4.%5.%6.%7.%8.%9."/>
      <w:lvlJc w:val="left"/>
      <w:pPr>
        <w:ind w:left="9824" w:hanging="1800"/>
      </w:pPr>
      <w:rPr>
        <w:rFonts w:hint="default"/>
      </w:rPr>
    </w:lvl>
  </w:abstractNum>
  <w:abstractNum w:abstractNumId="1" w15:restartNumberingAfterBreak="0">
    <w:nsid w:val="00AD09C6"/>
    <w:multiLevelType w:val="hybridMultilevel"/>
    <w:tmpl w:val="507E4E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A0497A"/>
    <w:multiLevelType w:val="hybridMultilevel"/>
    <w:tmpl w:val="3642FD42"/>
    <w:lvl w:ilvl="0" w:tplc="84424906">
      <w:start w:val="1"/>
      <w:numFmt w:val="low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0A3C1A"/>
    <w:multiLevelType w:val="hybridMultilevel"/>
    <w:tmpl w:val="D3A8928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1F3615A5"/>
    <w:multiLevelType w:val="multilevel"/>
    <w:tmpl w:val="0060CB5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3D0F67"/>
    <w:multiLevelType w:val="hybridMultilevel"/>
    <w:tmpl w:val="291094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29763CD3"/>
    <w:multiLevelType w:val="multilevel"/>
    <w:tmpl w:val="0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CB016FA"/>
    <w:multiLevelType w:val="hybridMultilevel"/>
    <w:tmpl w:val="FFFFFFFF"/>
    <w:lvl w:ilvl="0" w:tplc="71EAAD3A">
      <w:start w:val="1"/>
      <w:numFmt w:val="bullet"/>
      <w:lvlText w:val=""/>
      <w:lvlJc w:val="left"/>
      <w:pPr>
        <w:ind w:left="720" w:hanging="360"/>
      </w:pPr>
      <w:rPr>
        <w:rFonts w:ascii="Symbol" w:hAnsi="Symbol" w:hint="default"/>
      </w:rPr>
    </w:lvl>
    <w:lvl w:ilvl="1" w:tplc="FCF62140">
      <w:start w:val="1"/>
      <w:numFmt w:val="bullet"/>
      <w:lvlText w:val="o"/>
      <w:lvlJc w:val="left"/>
      <w:pPr>
        <w:ind w:left="1440" w:hanging="360"/>
      </w:pPr>
      <w:rPr>
        <w:rFonts w:ascii="Courier New" w:hAnsi="Courier New" w:hint="default"/>
      </w:rPr>
    </w:lvl>
    <w:lvl w:ilvl="2" w:tplc="01E05E68">
      <w:start w:val="1"/>
      <w:numFmt w:val="bullet"/>
      <w:lvlText w:val=""/>
      <w:lvlJc w:val="left"/>
      <w:pPr>
        <w:ind w:left="2160" w:hanging="360"/>
      </w:pPr>
      <w:rPr>
        <w:rFonts w:ascii="Wingdings" w:hAnsi="Wingdings" w:hint="default"/>
      </w:rPr>
    </w:lvl>
    <w:lvl w:ilvl="3" w:tplc="4AF280C4">
      <w:start w:val="1"/>
      <w:numFmt w:val="bullet"/>
      <w:lvlText w:val=""/>
      <w:lvlJc w:val="left"/>
      <w:pPr>
        <w:ind w:left="2880" w:hanging="360"/>
      </w:pPr>
      <w:rPr>
        <w:rFonts w:ascii="Symbol" w:hAnsi="Symbol" w:hint="default"/>
      </w:rPr>
    </w:lvl>
    <w:lvl w:ilvl="4" w:tplc="4DA631FE">
      <w:start w:val="1"/>
      <w:numFmt w:val="bullet"/>
      <w:lvlText w:val="o"/>
      <w:lvlJc w:val="left"/>
      <w:pPr>
        <w:ind w:left="3600" w:hanging="360"/>
      </w:pPr>
      <w:rPr>
        <w:rFonts w:ascii="Courier New" w:hAnsi="Courier New" w:hint="default"/>
      </w:rPr>
    </w:lvl>
    <w:lvl w:ilvl="5" w:tplc="619040C6">
      <w:start w:val="1"/>
      <w:numFmt w:val="bullet"/>
      <w:lvlText w:val=""/>
      <w:lvlJc w:val="left"/>
      <w:pPr>
        <w:ind w:left="4320" w:hanging="360"/>
      </w:pPr>
      <w:rPr>
        <w:rFonts w:ascii="Wingdings" w:hAnsi="Wingdings" w:hint="default"/>
      </w:rPr>
    </w:lvl>
    <w:lvl w:ilvl="6" w:tplc="4D18156A">
      <w:start w:val="1"/>
      <w:numFmt w:val="bullet"/>
      <w:lvlText w:val=""/>
      <w:lvlJc w:val="left"/>
      <w:pPr>
        <w:ind w:left="5040" w:hanging="360"/>
      </w:pPr>
      <w:rPr>
        <w:rFonts w:ascii="Symbol" w:hAnsi="Symbol" w:hint="default"/>
      </w:rPr>
    </w:lvl>
    <w:lvl w:ilvl="7" w:tplc="010A4FC2">
      <w:start w:val="1"/>
      <w:numFmt w:val="bullet"/>
      <w:lvlText w:val="o"/>
      <w:lvlJc w:val="left"/>
      <w:pPr>
        <w:ind w:left="5760" w:hanging="360"/>
      </w:pPr>
      <w:rPr>
        <w:rFonts w:ascii="Courier New" w:hAnsi="Courier New" w:hint="default"/>
      </w:rPr>
    </w:lvl>
    <w:lvl w:ilvl="8" w:tplc="459A73D8">
      <w:start w:val="1"/>
      <w:numFmt w:val="bullet"/>
      <w:lvlText w:val=""/>
      <w:lvlJc w:val="left"/>
      <w:pPr>
        <w:ind w:left="6480" w:hanging="360"/>
      </w:pPr>
      <w:rPr>
        <w:rFonts w:ascii="Wingdings" w:hAnsi="Wingdings" w:hint="default"/>
      </w:rPr>
    </w:lvl>
  </w:abstractNum>
  <w:abstractNum w:abstractNumId="8" w15:restartNumberingAfterBreak="0">
    <w:nsid w:val="2E1505CE"/>
    <w:multiLevelType w:val="multilevel"/>
    <w:tmpl w:val="E15AFE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0458C7"/>
    <w:multiLevelType w:val="hybridMultilevel"/>
    <w:tmpl w:val="4D8093A6"/>
    <w:lvl w:ilvl="0" w:tplc="D23A9288">
      <w:start w:val="1"/>
      <w:numFmt w:val="decimal"/>
      <w:lvlText w:val="Artículo %1 –"/>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2F4CC6"/>
    <w:multiLevelType w:val="hybridMultilevel"/>
    <w:tmpl w:val="CEEE03CA"/>
    <w:lvl w:ilvl="0" w:tplc="265AB7A4">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4A6C4424"/>
    <w:multiLevelType w:val="multilevel"/>
    <w:tmpl w:val="BC3CC676"/>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942B4B"/>
    <w:multiLevelType w:val="multilevel"/>
    <w:tmpl w:val="64602988"/>
    <w:lvl w:ilvl="0">
      <w:start w:val="1"/>
      <w:numFmt w:val="decimal"/>
      <w:lvlText w:val="%1."/>
      <w:lvlJc w:val="left"/>
      <w:pPr>
        <w:ind w:left="720" w:hanging="360"/>
      </w:pPr>
      <w:rPr>
        <w:b/>
        <w:bCs/>
      </w:rPr>
    </w:lvl>
    <w:lvl w:ilvl="1">
      <w:start w:val="2"/>
      <w:numFmt w:val="decimal"/>
      <w:lvlText w:val="%1.%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D8B2141"/>
    <w:multiLevelType w:val="multilevel"/>
    <w:tmpl w:val="6980D55A"/>
    <w:lvl w:ilvl="0">
      <w:start w:val="1"/>
      <w:numFmt w:val="decimal"/>
      <w:lvlText w:val="%1."/>
      <w:lvlJc w:val="left"/>
      <w:pPr>
        <w:ind w:left="360" w:hanging="360"/>
      </w:pPr>
      <w:rPr>
        <w:rFonts w:ascii="Verdana" w:hAnsi="Verdana" w:cs="Arial" w:hint="default"/>
        <w:b/>
      </w:rPr>
    </w:lvl>
    <w:lvl w:ilvl="1">
      <w:start w:val="1"/>
      <w:numFmt w:val="decimal"/>
      <w:lvlText w:val="%1.%2."/>
      <w:lvlJc w:val="left"/>
      <w:pPr>
        <w:ind w:left="792" w:hanging="432"/>
      </w:pPr>
      <w:rPr>
        <w:lang w:val="es-ES_tradn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926960"/>
    <w:multiLevelType w:val="hybridMultilevel"/>
    <w:tmpl w:val="52B8D5CE"/>
    <w:lvl w:ilvl="0" w:tplc="DC949B80">
      <w:start w:val="1"/>
      <w:numFmt w:val="bullet"/>
      <w:lvlText w:val=""/>
      <w:lvlJc w:val="left"/>
      <w:pPr>
        <w:ind w:left="720" w:hanging="360"/>
      </w:pPr>
      <w:rPr>
        <w:rFonts w:ascii="Wingdings" w:hAnsi="Wingdings" w:hint="default"/>
      </w:rPr>
    </w:lvl>
    <w:lvl w:ilvl="1" w:tplc="0C96462E">
      <w:start w:val="1"/>
      <w:numFmt w:val="bullet"/>
      <w:lvlText w:val="o"/>
      <w:lvlJc w:val="left"/>
      <w:pPr>
        <w:ind w:left="1440" w:hanging="360"/>
      </w:pPr>
      <w:rPr>
        <w:rFonts w:ascii="Courier New" w:hAnsi="Courier New" w:hint="default"/>
      </w:rPr>
    </w:lvl>
    <w:lvl w:ilvl="2" w:tplc="E7380FBC">
      <w:start w:val="1"/>
      <w:numFmt w:val="bullet"/>
      <w:lvlText w:val=""/>
      <w:lvlJc w:val="left"/>
      <w:pPr>
        <w:ind w:left="2160" w:hanging="360"/>
      </w:pPr>
      <w:rPr>
        <w:rFonts w:ascii="Wingdings" w:hAnsi="Wingdings" w:hint="default"/>
      </w:rPr>
    </w:lvl>
    <w:lvl w:ilvl="3" w:tplc="EE4A3C90">
      <w:start w:val="1"/>
      <w:numFmt w:val="bullet"/>
      <w:lvlText w:val=""/>
      <w:lvlJc w:val="left"/>
      <w:pPr>
        <w:ind w:left="2880" w:hanging="360"/>
      </w:pPr>
      <w:rPr>
        <w:rFonts w:ascii="Symbol" w:hAnsi="Symbol" w:hint="default"/>
      </w:rPr>
    </w:lvl>
    <w:lvl w:ilvl="4" w:tplc="B1C8D68E">
      <w:start w:val="1"/>
      <w:numFmt w:val="bullet"/>
      <w:lvlText w:val="o"/>
      <w:lvlJc w:val="left"/>
      <w:pPr>
        <w:ind w:left="3600" w:hanging="360"/>
      </w:pPr>
      <w:rPr>
        <w:rFonts w:ascii="Courier New" w:hAnsi="Courier New" w:hint="default"/>
      </w:rPr>
    </w:lvl>
    <w:lvl w:ilvl="5" w:tplc="A7C009C4">
      <w:start w:val="1"/>
      <w:numFmt w:val="bullet"/>
      <w:lvlText w:val=""/>
      <w:lvlJc w:val="left"/>
      <w:pPr>
        <w:ind w:left="4320" w:hanging="360"/>
      </w:pPr>
      <w:rPr>
        <w:rFonts w:ascii="Wingdings" w:hAnsi="Wingdings" w:hint="default"/>
      </w:rPr>
    </w:lvl>
    <w:lvl w:ilvl="6" w:tplc="E766EFC0">
      <w:start w:val="1"/>
      <w:numFmt w:val="bullet"/>
      <w:lvlText w:val=""/>
      <w:lvlJc w:val="left"/>
      <w:pPr>
        <w:ind w:left="5040" w:hanging="360"/>
      </w:pPr>
      <w:rPr>
        <w:rFonts w:ascii="Symbol" w:hAnsi="Symbol" w:hint="default"/>
      </w:rPr>
    </w:lvl>
    <w:lvl w:ilvl="7" w:tplc="525E6D4C">
      <w:start w:val="1"/>
      <w:numFmt w:val="bullet"/>
      <w:lvlText w:val="o"/>
      <w:lvlJc w:val="left"/>
      <w:pPr>
        <w:ind w:left="5760" w:hanging="360"/>
      </w:pPr>
      <w:rPr>
        <w:rFonts w:ascii="Courier New" w:hAnsi="Courier New" w:hint="default"/>
      </w:rPr>
    </w:lvl>
    <w:lvl w:ilvl="8" w:tplc="6C3A854C">
      <w:start w:val="1"/>
      <w:numFmt w:val="bullet"/>
      <w:lvlText w:val=""/>
      <w:lvlJc w:val="left"/>
      <w:pPr>
        <w:ind w:left="6480" w:hanging="360"/>
      </w:pPr>
      <w:rPr>
        <w:rFonts w:ascii="Wingdings" w:hAnsi="Wingdings" w:hint="default"/>
      </w:rPr>
    </w:lvl>
  </w:abstractNum>
  <w:abstractNum w:abstractNumId="15" w15:restartNumberingAfterBreak="0">
    <w:nsid w:val="504C2A5F"/>
    <w:multiLevelType w:val="hybridMultilevel"/>
    <w:tmpl w:val="622ED3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E83D82"/>
    <w:multiLevelType w:val="multilevel"/>
    <w:tmpl w:val="EB6E95C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E041F0"/>
    <w:multiLevelType w:val="multilevel"/>
    <w:tmpl w:val="98EC37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6352AE"/>
    <w:multiLevelType w:val="multilevel"/>
    <w:tmpl w:val="50785E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07576A"/>
    <w:multiLevelType w:val="hybridMultilevel"/>
    <w:tmpl w:val="9F4A4E6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2661083">
    <w:abstractNumId w:val="13"/>
  </w:num>
  <w:num w:numId="2" w16cid:durableId="1239899963">
    <w:abstractNumId w:val="15"/>
  </w:num>
  <w:num w:numId="3" w16cid:durableId="752166627">
    <w:abstractNumId w:val="17"/>
  </w:num>
  <w:num w:numId="4" w16cid:durableId="1051881591">
    <w:abstractNumId w:val="12"/>
  </w:num>
  <w:num w:numId="5" w16cid:durableId="1941180096">
    <w:abstractNumId w:val="18"/>
  </w:num>
  <w:num w:numId="6" w16cid:durableId="305550700">
    <w:abstractNumId w:val="8"/>
  </w:num>
  <w:num w:numId="7" w16cid:durableId="1518694553">
    <w:abstractNumId w:val="2"/>
  </w:num>
  <w:num w:numId="8" w16cid:durableId="1106535949">
    <w:abstractNumId w:val="16"/>
  </w:num>
  <w:num w:numId="9" w16cid:durableId="175578603">
    <w:abstractNumId w:val="9"/>
  </w:num>
  <w:num w:numId="10" w16cid:durableId="651371601">
    <w:abstractNumId w:val="11"/>
  </w:num>
  <w:num w:numId="11" w16cid:durableId="154614872">
    <w:abstractNumId w:val="4"/>
  </w:num>
  <w:num w:numId="12" w16cid:durableId="1656296238">
    <w:abstractNumId w:val="7"/>
  </w:num>
  <w:num w:numId="13" w16cid:durableId="1767309454">
    <w:abstractNumId w:val="5"/>
  </w:num>
  <w:num w:numId="14" w16cid:durableId="1085034668">
    <w:abstractNumId w:val="14"/>
  </w:num>
  <w:num w:numId="15" w16cid:durableId="683898565">
    <w:abstractNumId w:val="6"/>
  </w:num>
  <w:num w:numId="16" w16cid:durableId="432865760">
    <w:abstractNumId w:val="10"/>
  </w:num>
  <w:num w:numId="17" w16cid:durableId="1877737522">
    <w:abstractNumId w:val="3"/>
  </w:num>
  <w:num w:numId="18" w16cid:durableId="901521491">
    <w:abstractNumId w:val="19"/>
  </w:num>
  <w:num w:numId="19" w16cid:durableId="324089363">
    <w:abstractNumId w:val="0"/>
  </w:num>
  <w:num w:numId="20" w16cid:durableId="291180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4B7"/>
    <w:rsid w:val="0000034F"/>
    <w:rsid w:val="00000A5E"/>
    <w:rsid w:val="00000FFE"/>
    <w:rsid w:val="0000102F"/>
    <w:rsid w:val="00001545"/>
    <w:rsid w:val="00003C40"/>
    <w:rsid w:val="00003D1F"/>
    <w:rsid w:val="00003E93"/>
    <w:rsid w:val="0000481C"/>
    <w:rsid w:val="00005B73"/>
    <w:rsid w:val="00005E1E"/>
    <w:rsid w:val="00006446"/>
    <w:rsid w:val="00007A1E"/>
    <w:rsid w:val="00011DD1"/>
    <w:rsid w:val="00012AEA"/>
    <w:rsid w:val="000151FD"/>
    <w:rsid w:val="00016147"/>
    <w:rsid w:val="00017F31"/>
    <w:rsid w:val="00020BF8"/>
    <w:rsid w:val="00020D8F"/>
    <w:rsid w:val="00020D97"/>
    <w:rsid w:val="0002305F"/>
    <w:rsid w:val="00024411"/>
    <w:rsid w:val="00024648"/>
    <w:rsid w:val="000253DC"/>
    <w:rsid w:val="00026626"/>
    <w:rsid w:val="00026880"/>
    <w:rsid w:val="00026929"/>
    <w:rsid w:val="00026E56"/>
    <w:rsid w:val="00027C9A"/>
    <w:rsid w:val="00027F74"/>
    <w:rsid w:val="00030183"/>
    <w:rsid w:val="00031180"/>
    <w:rsid w:val="00032205"/>
    <w:rsid w:val="00032400"/>
    <w:rsid w:val="00034761"/>
    <w:rsid w:val="00036D8B"/>
    <w:rsid w:val="000370EE"/>
    <w:rsid w:val="00037135"/>
    <w:rsid w:val="000371B0"/>
    <w:rsid w:val="00037EE0"/>
    <w:rsid w:val="00037FD0"/>
    <w:rsid w:val="00040214"/>
    <w:rsid w:val="00040800"/>
    <w:rsid w:val="00040D9F"/>
    <w:rsid w:val="00040E45"/>
    <w:rsid w:val="00041971"/>
    <w:rsid w:val="00042934"/>
    <w:rsid w:val="00043214"/>
    <w:rsid w:val="00043E83"/>
    <w:rsid w:val="00044025"/>
    <w:rsid w:val="00045F31"/>
    <w:rsid w:val="00047D9F"/>
    <w:rsid w:val="00047DD3"/>
    <w:rsid w:val="000523AD"/>
    <w:rsid w:val="0005257B"/>
    <w:rsid w:val="0005265C"/>
    <w:rsid w:val="00052700"/>
    <w:rsid w:val="000533B9"/>
    <w:rsid w:val="00053ACF"/>
    <w:rsid w:val="00054078"/>
    <w:rsid w:val="00054A88"/>
    <w:rsid w:val="00056160"/>
    <w:rsid w:val="0005648C"/>
    <w:rsid w:val="0005714B"/>
    <w:rsid w:val="00057970"/>
    <w:rsid w:val="00057D78"/>
    <w:rsid w:val="00060562"/>
    <w:rsid w:val="00061A25"/>
    <w:rsid w:val="00061F22"/>
    <w:rsid w:val="00062A6E"/>
    <w:rsid w:val="00062E89"/>
    <w:rsid w:val="000637B1"/>
    <w:rsid w:val="00064CF7"/>
    <w:rsid w:val="00065609"/>
    <w:rsid w:val="00070927"/>
    <w:rsid w:val="0007184B"/>
    <w:rsid w:val="0007306C"/>
    <w:rsid w:val="000742C7"/>
    <w:rsid w:val="00074EC6"/>
    <w:rsid w:val="00074F47"/>
    <w:rsid w:val="00075CDC"/>
    <w:rsid w:val="00076BA0"/>
    <w:rsid w:val="00077AAE"/>
    <w:rsid w:val="00080F79"/>
    <w:rsid w:val="00081181"/>
    <w:rsid w:val="00081D23"/>
    <w:rsid w:val="00081F52"/>
    <w:rsid w:val="00082573"/>
    <w:rsid w:val="00083278"/>
    <w:rsid w:val="00084E8D"/>
    <w:rsid w:val="00084F36"/>
    <w:rsid w:val="00085FBB"/>
    <w:rsid w:val="0008665C"/>
    <w:rsid w:val="00086A58"/>
    <w:rsid w:val="00086E2E"/>
    <w:rsid w:val="000901A4"/>
    <w:rsid w:val="00090E7A"/>
    <w:rsid w:val="00091C78"/>
    <w:rsid w:val="00091E88"/>
    <w:rsid w:val="0009296B"/>
    <w:rsid w:val="0009485C"/>
    <w:rsid w:val="00094860"/>
    <w:rsid w:val="00095099"/>
    <w:rsid w:val="00097247"/>
    <w:rsid w:val="000A0802"/>
    <w:rsid w:val="000A326D"/>
    <w:rsid w:val="000A635E"/>
    <w:rsid w:val="000A7070"/>
    <w:rsid w:val="000A7DF2"/>
    <w:rsid w:val="000B056A"/>
    <w:rsid w:val="000B1656"/>
    <w:rsid w:val="000B31A4"/>
    <w:rsid w:val="000B36AC"/>
    <w:rsid w:val="000B3AC6"/>
    <w:rsid w:val="000B4611"/>
    <w:rsid w:val="000B4AD8"/>
    <w:rsid w:val="000B4B3F"/>
    <w:rsid w:val="000B52B0"/>
    <w:rsid w:val="000B53B0"/>
    <w:rsid w:val="000B5D07"/>
    <w:rsid w:val="000B5F36"/>
    <w:rsid w:val="000B6641"/>
    <w:rsid w:val="000B6F79"/>
    <w:rsid w:val="000B7590"/>
    <w:rsid w:val="000C236B"/>
    <w:rsid w:val="000C256C"/>
    <w:rsid w:val="000C2F66"/>
    <w:rsid w:val="000C3DE6"/>
    <w:rsid w:val="000C4694"/>
    <w:rsid w:val="000C5C6A"/>
    <w:rsid w:val="000C62B4"/>
    <w:rsid w:val="000C691F"/>
    <w:rsid w:val="000D04E0"/>
    <w:rsid w:val="000D3505"/>
    <w:rsid w:val="000D3CF4"/>
    <w:rsid w:val="000D5218"/>
    <w:rsid w:val="000D5D67"/>
    <w:rsid w:val="000D6CAE"/>
    <w:rsid w:val="000E00AF"/>
    <w:rsid w:val="000E05E3"/>
    <w:rsid w:val="000E1D64"/>
    <w:rsid w:val="000E38E7"/>
    <w:rsid w:val="000E4D7A"/>
    <w:rsid w:val="000E6925"/>
    <w:rsid w:val="000E74F2"/>
    <w:rsid w:val="000E7B0B"/>
    <w:rsid w:val="000F0814"/>
    <w:rsid w:val="000F1479"/>
    <w:rsid w:val="0010036E"/>
    <w:rsid w:val="00100896"/>
    <w:rsid w:val="00100D57"/>
    <w:rsid w:val="00104263"/>
    <w:rsid w:val="00104AA9"/>
    <w:rsid w:val="0010515C"/>
    <w:rsid w:val="00105527"/>
    <w:rsid w:val="00105A9D"/>
    <w:rsid w:val="00106A0E"/>
    <w:rsid w:val="001079A8"/>
    <w:rsid w:val="00110675"/>
    <w:rsid w:val="001122C8"/>
    <w:rsid w:val="00113332"/>
    <w:rsid w:val="001150A3"/>
    <w:rsid w:val="00116724"/>
    <w:rsid w:val="001170D1"/>
    <w:rsid w:val="00117731"/>
    <w:rsid w:val="0012024D"/>
    <w:rsid w:val="001206EC"/>
    <w:rsid w:val="00121FBF"/>
    <w:rsid w:val="00122D38"/>
    <w:rsid w:val="00123AB7"/>
    <w:rsid w:val="00124704"/>
    <w:rsid w:val="00124B5B"/>
    <w:rsid w:val="00125EEC"/>
    <w:rsid w:val="00125EF2"/>
    <w:rsid w:val="0012600D"/>
    <w:rsid w:val="0012620C"/>
    <w:rsid w:val="001302C1"/>
    <w:rsid w:val="001302CE"/>
    <w:rsid w:val="001306E0"/>
    <w:rsid w:val="001307E8"/>
    <w:rsid w:val="00130F9D"/>
    <w:rsid w:val="00131D90"/>
    <w:rsid w:val="001326AC"/>
    <w:rsid w:val="00132849"/>
    <w:rsid w:val="00132FA0"/>
    <w:rsid w:val="0013349C"/>
    <w:rsid w:val="0013489C"/>
    <w:rsid w:val="0013698D"/>
    <w:rsid w:val="00137177"/>
    <w:rsid w:val="001371CE"/>
    <w:rsid w:val="00137429"/>
    <w:rsid w:val="00140038"/>
    <w:rsid w:val="0014180F"/>
    <w:rsid w:val="0014289B"/>
    <w:rsid w:val="00142A91"/>
    <w:rsid w:val="00142F3E"/>
    <w:rsid w:val="00143FD9"/>
    <w:rsid w:val="001460DB"/>
    <w:rsid w:val="001462C0"/>
    <w:rsid w:val="0014736B"/>
    <w:rsid w:val="00147D38"/>
    <w:rsid w:val="00150312"/>
    <w:rsid w:val="00151B42"/>
    <w:rsid w:val="00151DB5"/>
    <w:rsid w:val="00153F7D"/>
    <w:rsid w:val="00154275"/>
    <w:rsid w:val="00155CC7"/>
    <w:rsid w:val="00155F2B"/>
    <w:rsid w:val="001607EB"/>
    <w:rsid w:val="00160908"/>
    <w:rsid w:val="0016119C"/>
    <w:rsid w:val="00162F8E"/>
    <w:rsid w:val="00165628"/>
    <w:rsid w:val="00165B35"/>
    <w:rsid w:val="00166B46"/>
    <w:rsid w:val="00167055"/>
    <w:rsid w:val="00167F59"/>
    <w:rsid w:val="001704F8"/>
    <w:rsid w:val="001717CE"/>
    <w:rsid w:val="00171B3E"/>
    <w:rsid w:val="001735C9"/>
    <w:rsid w:val="00173C8D"/>
    <w:rsid w:val="0017494D"/>
    <w:rsid w:val="0017528E"/>
    <w:rsid w:val="001758E4"/>
    <w:rsid w:val="00175B9E"/>
    <w:rsid w:val="00176409"/>
    <w:rsid w:val="00176711"/>
    <w:rsid w:val="00177533"/>
    <w:rsid w:val="001778B5"/>
    <w:rsid w:val="00177E95"/>
    <w:rsid w:val="00177EFE"/>
    <w:rsid w:val="001800EB"/>
    <w:rsid w:val="00180BD0"/>
    <w:rsid w:val="00181DED"/>
    <w:rsid w:val="00181E5F"/>
    <w:rsid w:val="0018353D"/>
    <w:rsid w:val="00184157"/>
    <w:rsid w:val="00184EFE"/>
    <w:rsid w:val="00185277"/>
    <w:rsid w:val="00190C19"/>
    <w:rsid w:val="00190D38"/>
    <w:rsid w:val="00192643"/>
    <w:rsid w:val="00192C18"/>
    <w:rsid w:val="00193265"/>
    <w:rsid w:val="00193544"/>
    <w:rsid w:val="00193F76"/>
    <w:rsid w:val="0019457D"/>
    <w:rsid w:val="00197767"/>
    <w:rsid w:val="001A0B78"/>
    <w:rsid w:val="001A1190"/>
    <w:rsid w:val="001A12E6"/>
    <w:rsid w:val="001A1330"/>
    <w:rsid w:val="001A176D"/>
    <w:rsid w:val="001A184D"/>
    <w:rsid w:val="001A1D1D"/>
    <w:rsid w:val="001A2274"/>
    <w:rsid w:val="001A230A"/>
    <w:rsid w:val="001A2DA2"/>
    <w:rsid w:val="001A2F6D"/>
    <w:rsid w:val="001A3380"/>
    <w:rsid w:val="001A33CB"/>
    <w:rsid w:val="001A5499"/>
    <w:rsid w:val="001A54D9"/>
    <w:rsid w:val="001A6EC7"/>
    <w:rsid w:val="001B0165"/>
    <w:rsid w:val="001B048E"/>
    <w:rsid w:val="001B127C"/>
    <w:rsid w:val="001B1671"/>
    <w:rsid w:val="001B18DE"/>
    <w:rsid w:val="001B1EE9"/>
    <w:rsid w:val="001B2614"/>
    <w:rsid w:val="001B2951"/>
    <w:rsid w:val="001B3DB6"/>
    <w:rsid w:val="001B42CF"/>
    <w:rsid w:val="001B4412"/>
    <w:rsid w:val="001B4696"/>
    <w:rsid w:val="001B4FE5"/>
    <w:rsid w:val="001B79FD"/>
    <w:rsid w:val="001C049B"/>
    <w:rsid w:val="001C1018"/>
    <w:rsid w:val="001C1CBB"/>
    <w:rsid w:val="001C2297"/>
    <w:rsid w:val="001C2568"/>
    <w:rsid w:val="001C26E6"/>
    <w:rsid w:val="001C3058"/>
    <w:rsid w:val="001C34DE"/>
    <w:rsid w:val="001C470B"/>
    <w:rsid w:val="001C577F"/>
    <w:rsid w:val="001C7900"/>
    <w:rsid w:val="001D2CFC"/>
    <w:rsid w:val="001D3523"/>
    <w:rsid w:val="001D3868"/>
    <w:rsid w:val="001D3DBD"/>
    <w:rsid w:val="001D5479"/>
    <w:rsid w:val="001D596E"/>
    <w:rsid w:val="001D6728"/>
    <w:rsid w:val="001D75DA"/>
    <w:rsid w:val="001D7EC1"/>
    <w:rsid w:val="001D7F4C"/>
    <w:rsid w:val="001E13EC"/>
    <w:rsid w:val="001E14F7"/>
    <w:rsid w:val="001E19B4"/>
    <w:rsid w:val="001E1B12"/>
    <w:rsid w:val="001E2824"/>
    <w:rsid w:val="001E2A0F"/>
    <w:rsid w:val="001E33AA"/>
    <w:rsid w:val="001E42EE"/>
    <w:rsid w:val="001E49B4"/>
    <w:rsid w:val="001E4FE0"/>
    <w:rsid w:val="001E5D6F"/>
    <w:rsid w:val="001E5E77"/>
    <w:rsid w:val="001E6522"/>
    <w:rsid w:val="001E6FAA"/>
    <w:rsid w:val="001E6FF5"/>
    <w:rsid w:val="001F05B2"/>
    <w:rsid w:val="001F25C2"/>
    <w:rsid w:val="001F25F9"/>
    <w:rsid w:val="001F408B"/>
    <w:rsid w:val="001F44A0"/>
    <w:rsid w:val="001F4C85"/>
    <w:rsid w:val="001F4FA6"/>
    <w:rsid w:val="001F52CC"/>
    <w:rsid w:val="001F6488"/>
    <w:rsid w:val="001F67B8"/>
    <w:rsid w:val="001F6A01"/>
    <w:rsid w:val="001F6E10"/>
    <w:rsid w:val="001F71E8"/>
    <w:rsid w:val="00200350"/>
    <w:rsid w:val="00200DBF"/>
    <w:rsid w:val="00202158"/>
    <w:rsid w:val="00202DD7"/>
    <w:rsid w:val="00202F6C"/>
    <w:rsid w:val="00203424"/>
    <w:rsid w:val="0020507D"/>
    <w:rsid w:val="00205627"/>
    <w:rsid w:val="00205D8A"/>
    <w:rsid w:val="0020667C"/>
    <w:rsid w:val="00206B8C"/>
    <w:rsid w:val="002075AA"/>
    <w:rsid w:val="00207F77"/>
    <w:rsid w:val="00210BF5"/>
    <w:rsid w:val="00211770"/>
    <w:rsid w:val="002126A7"/>
    <w:rsid w:val="00214814"/>
    <w:rsid w:val="00215235"/>
    <w:rsid w:val="00216A0F"/>
    <w:rsid w:val="00216B2D"/>
    <w:rsid w:val="00217485"/>
    <w:rsid w:val="0021751D"/>
    <w:rsid w:val="0021755D"/>
    <w:rsid w:val="00217B98"/>
    <w:rsid w:val="00217CC4"/>
    <w:rsid w:val="0022048F"/>
    <w:rsid w:val="00220F96"/>
    <w:rsid w:val="00221197"/>
    <w:rsid w:val="002214DD"/>
    <w:rsid w:val="00221F54"/>
    <w:rsid w:val="002225F8"/>
    <w:rsid w:val="00224162"/>
    <w:rsid w:val="00224E2A"/>
    <w:rsid w:val="00226B3A"/>
    <w:rsid w:val="0023039B"/>
    <w:rsid w:val="002309A6"/>
    <w:rsid w:val="00230EE5"/>
    <w:rsid w:val="002311B7"/>
    <w:rsid w:val="00231B35"/>
    <w:rsid w:val="002326AC"/>
    <w:rsid w:val="00236144"/>
    <w:rsid w:val="00236612"/>
    <w:rsid w:val="00237300"/>
    <w:rsid w:val="0023733C"/>
    <w:rsid w:val="00237746"/>
    <w:rsid w:val="00241B68"/>
    <w:rsid w:val="00241F40"/>
    <w:rsid w:val="00243EF1"/>
    <w:rsid w:val="00245D15"/>
    <w:rsid w:val="00245D3A"/>
    <w:rsid w:val="0024696B"/>
    <w:rsid w:val="00246D2A"/>
    <w:rsid w:val="00252663"/>
    <w:rsid w:val="00252CB9"/>
    <w:rsid w:val="00252D4C"/>
    <w:rsid w:val="00253A14"/>
    <w:rsid w:val="002548F6"/>
    <w:rsid w:val="00254A2A"/>
    <w:rsid w:val="00254CC6"/>
    <w:rsid w:val="0025519E"/>
    <w:rsid w:val="002555AE"/>
    <w:rsid w:val="00255A7D"/>
    <w:rsid w:val="0026109B"/>
    <w:rsid w:val="002624C6"/>
    <w:rsid w:val="00262758"/>
    <w:rsid w:val="00262A1E"/>
    <w:rsid w:val="00262B8C"/>
    <w:rsid w:val="002638FE"/>
    <w:rsid w:val="00263E1A"/>
    <w:rsid w:val="00265880"/>
    <w:rsid w:val="00270E4F"/>
    <w:rsid w:val="002722E1"/>
    <w:rsid w:val="002730C1"/>
    <w:rsid w:val="002732EE"/>
    <w:rsid w:val="00274740"/>
    <w:rsid w:val="00274793"/>
    <w:rsid w:val="0027586E"/>
    <w:rsid w:val="00277656"/>
    <w:rsid w:val="00277B62"/>
    <w:rsid w:val="00280146"/>
    <w:rsid w:val="0028048D"/>
    <w:rsid w:val="00280747"/>
    <w:rsid w:val="00281B1F"/>
    <w:rsid w:val="00281F7A"/>
    <w:rsid w:val="0028253E"/>
    <w:rsid w:val="00282ED9"/>
    <w:rsid w:val="002836FF"/>
    <w:rsid w:val="00284961"/>
    <w:rsid w:val="00285676"/>
    <w:rsid w:val="002866A2"/>
    <w:rsid w:val="00287352"/>
    <w:rsid w:val="0028798B"/>
    <w:rsid w:val="00294D7C"/>
    <w:rsid w:val="00294FFA"/>
    <w:rsid w:val="00295DD0"/>
    <w:rsid w:val="00295FBB"/>
    <w:rsid w:val="002A024C"/>
    <w:rsid w:val="002A06DA"/>
    <w:rsid w:val="002A1226"/>
    <w:rsid w:val="002A14E9"/>
    <w:rsid w:val="002A2FEA"/>
    <w:rsid w:val="002A3631"/>
    <w:rsid w:val="002A369C"/>
    <w:rsid w:val="002A391E"/>
    <w:rsid w:val="002A4090"/>
    <w:rsid w:val="002A45AF"/>
    <w:rsid w:val="002A5817"/>
    <w:rsid w:val="002A5E4D"/>
    <w:rsid w:val="002B082C"/>
    <w:rsid w:val="002B1B1F"/>
    <w:rsid w:val="002B1BC0"/>
    <w:rsid w:val="002B1BE9"/>
    <w:rsid w:val="002B3772"/>
    <w:rsid w:val="002B43F4"/>
    <w:rsid w:val="002B59A2"/>
    <w:rsid w:val="002B6112"/>
    <w:rsid w:val="002B645A"/>
    <w:rsid w:val="002B6818"/>
    <w:rsid w:val="002B7BCE"/>
    <w:rsid w:val="002C0108"/>
    <w:rsid w:val="002C04B5"/>
    <w:rsid w:val="002C173C"/>
    <w:rsid w:val="002C376B"/>
    <w:rsid w:val="002C3E9A"/>
    <w:rsid w:val="002C4FB6"/>
    <w:rsid w:val="002C5071"/>
    <w:rsid w:val="002C67B3"/>
    <w:rsid w:val="002C6CD8"/>
    <w:rsid w:val="002C7329"/>
    <w:rsid w:val="002D0FAD"/>
    <w:rsid w:val="002D3604"/>
    <w:rsid w:val="002D57AD"/>
    <w:rsid w:val="002D5E78"/>
    <w:rsid w:val="002D6EBD"/>
    <w:rsid w:val="002D7398"/>
    <w:rsid w:val="002E006A"/>
    <w:rsid w:val="002E0BA9"/>
    <w:rsid w:val="002E15AA"/>
    <w:rsid w:val="002E1AEB"/>
    <w:rsid w:val="002E38BB"/>
    <w:rsid w:val="002E39E1"/>
    <w:rsid w:val="002E45FE"/>
    <w:rsid w:val="002E521A"/>
    <w:rsid w:val="002E6117"/>
    <w:rsid w:val="002E7092"/>
    <w:rsid w:val="002E74CD"/>
    <w:rsid w:val="002E7C28"/>
    <w:rsid w:val="002F0301"/>
    <w:rsid w:val="002F10F1"/>
    <w:rsid w:val="002F1CD8"/>
    <w:rsid w:val="002F2C10"/>
    <w:rsid w:val="002F3795"/>
    <w:rsid w:val="002F37DF"/>
    <w:rsid w:val="002F3E63"/>
    <w:rsid w:val="002F4D5F"/>
    <w:rsid w:val="002F557C"/>
    <w:rsid w:val="002F7183"/>
    <w:rsid w:val="00300883"/>
    <w:rsid w:val="00300B24"/>
    <w:rsid w:val="0030147C"/>
    <w:rsid w:val="00301A18"/>
    <w:rsid w:val="003024DA"/>
    <w:rsid w:val="0030254A"/>
    <w:rsid w:val="003030B8"/>
    <w:rsid w:val="00303D94"/>
    <w:rsid w:val="00304C2C"/>
    <w:rsid w:val="00305058"/>
    <w:rsid w:val="003061A1"/>
    <w:rsid w:val="00306A4E"/>
    <w:rsid w:val="003070B9"/>
    <w:rsid w:val="003108F7"/>
    <w:rsid w:val="0031127D"/>
    <w:rsid w:val="003125FE"/>
    <w:rsid w:val="00313492"/>
    <w:rsid w:val="00314C56"/>
    <w:rsid w:val="00314CC7"/>
    <w:rsid w:val="003159C3"/>
    <w:rsid w:val="00316AED"/>
    <w:rsid w:val="00317190"/>
    <w:rsid w:val="0031790D"/>
    <w:rsid w:val="00321502"/>
    <w:rsid w:val="003217B4"/>
    <w:rsid w:val="00321849"/>
    <w:rsid w:val="00321B9C"/>
    <w:rsid w:val="00323E6E"/>
    <w:rsid w:val="003240D6"/>
    <w:rsid w:val="003245A9"/>
    <w:rsid w:val="003245AF"/>
    <w:rsid w:val="00325960"/>
    <w:rsid w:val="00325C56"/>
    <w:rsid w:val="0032699E"/>
    <w:rsid w:val="00327A95"/>
    <w:rsid w:val="00330838"/>
    <w:rsid w:val="00331DDB"/>
    <w:rsid w:val="00332C2F"/>
    <w:rsid w:val="003343CE"/>
    <w:rsid w:val="00334FDA"/>
    <w:rsid w:val="0033590B"/>
    <w:rsid w:val="00335A86"/>
    <w:rsid w:val="00337403"/>
    <w:rsid w:val="00337A52"/>
    <w:rsid w:val="0034048C"/>
    <w:rsid w:val="00340C9E"/>
    <w:rsid w:val="00341D27"/>
    <w:rsid w:val="00343E18"/>
    <w:rsid w:val="00344B3A"/>
    <w:rsid w:val="00345280"/>
    <w:rsid w:val="003465F6"/>
    <w:rsid w:val="0034705F"/>
    <w:rsid w:val="00347812"/>
    <w:rsid w:val="003510F1"/>
    <w:rsid w:val="00352897"/>
    <w:rsid w:val="00352C19"/>
    <w:rsid w:val="00353694"/>
    <w:rsid w:val="0035399E"/>
    <w:rsid w:val="0035478A"/>
    <w:rsid w:val="00355912"/>
    <w:rsid w:val="00356BAA"/>
    <w:rsid w:val="00356EE7"/>
    <w:rsid w:val="00357739"/>
    <w:rsid w:val="00360962"/>
    <w:rsid w:val="00360D67"/>
    <w:rsid w:val="00361805"/>
    <w:rsid w:val="0036268C"/>
    <w:rsid w:val="00363E3F"/>
    <w:rsid w:val="00364528"/>
    <w:rsid w:val="00364DBC"/>
    <w:rsid w:val="0036501B"/>
    <w:rsid w:val="00365BFC"/>
    <w:rsid w:val="00367127"/>
    <w:rsid w:val="0036777F"/>
    <w:rsid w:val="00370EAA"/>
    <w:rsid w:val="00371614"/>
    <w:rsid w:val="00371962"/>
    <w:rsid w:val="00371EC9"/>
    <w:rsid w:val="00372023"/>
    <w:rsid w:val="003723EC"/>
    <w:rsid w:val="00373D69"/>
    <w:rsid w:val="003740BB"/>
    <w:rsid w:val="003750D8"/>
    <w:rsid w:val="003762A7"/>
    <w:rsid w:val="00376970"/>
    <w:rsid w:val="0038056B"/>
    <w:rsid w:val="00380C54"/>
    <w:rsid w:val="003819D1"/>
    <w:rsid w:val="00381CA0"/>
    <w:rsid w:val="00381D8B"/>
    <w:rsid w:val="00382B61"/>
    <w:rsid w:val="003831A1"/>
    <w:rsid w:val="00384968"/>
    <w:rsid w:val="00384DB6"/>
    <w:rsid w:val="0038543C"/>
    <w:rsid w:val="00387699"/>
    <w:rsid w:val="0039102C"/>
    <w:rsid w:val="00391F00"/>
    <w:rsid w:val="003920E6"/>
    <w:rsid w:val="003936B8"/>
    <w:rsid w:val="0039442B"/>
    <w:rsid w:val="00394768"/>
    <w:rsid w:val="00394C0A"/>
    <w:rsid w:val="00397132"/>
    <w:rsid w:val="003972DB"/>
    <w:rsid w:val="003A0C4A"/>
    <w:rsid w:val="003A1976"/>
    <w:rsid w:val="003A20D1"/>
    <w:rsid w:val="003A267C"/>
    <w:rsid w:val="003A268C"/>
    <w:rsid w:val="003A2C10"/>
    <w:rsid w:val="003A32B1"/>
    <w:rsid w:val="003A3642"/>
    <w:rsid w:val="003A431C"/>
    <w:rsid w:val="003A57CD"/>
    <w:rsid w:val="003A6BF6"/>
    <w:rsid w:val="003A6C25"/>
    <w:rsid w:val="003A722A"/>
    <w:rsid w:val="003A7A1A"/>
    <w:rsid w:val="003A7CCC"/>
    <w:rsid w:val="003B05C3"/>
    <w:rsid w:val="003B07C7"/>
    <w:rsid w:val="003B0B50"/>
    <w:rsid w:val="003B0EF2"/>
    <w:rsid w:val="003B11ED"/>
    <w:rsid w:val="003B28A2"/>
    <w:rsid w:val="003B35C3"/>
    <w:rsid w:val="003B475C"/>
    <w:rsid w:val="003B599A"/>
    <w:rsid w:val="003B64EC"/>
    <w:rsid w:val="003B6555"/>
    <w:rsid w:val="003B6AEE"/>
    <w:rsid w:val="003B6FE7"/>
    <w:rsid w:val="003B7F83"/>
    <w:rsid w:val="003C1217"/>
    <w:rsid w:val="003C1EBD"/>
    <w:rsid w:val="003C20B2"/>
    <w:rsid w:val="003C20FC"/>
    <w:rsid w:val="003C219B"/>
    <w:rsid w:val="003C262B"/>
    <w:rsid w:val="003C280D"/>
    <w:rsid w:val="003C3893"/>
    <w:rsid w:val="003C3B4C"/>
    <w:rsid w:val="003C50D0"/>
    <w:rsid w:val="003C5646"/>
    <w:rsid w:val="003C6C40"/>
    <w:rsid w:val="003C7FD0"/>
    <w:rsid w:val="003D003C"/>
    <w:rsid w:val="003D036E"/>
    <w:rsid w:val="003D0498"/>
    <w:rsid w:val="003D0AE7"/>
    <w:rsid w:val="003D245B"/>
    <w:rsid w:val="003D2836"/>
    <w:rsid w:val="003D7242"/>
    <w:rsid w:val="003E1844"/>
    <w:rsid w:val="003E24A0"/>
    <w:rsid w:val="003E24D1"/>
    <w:rsid w:val="003E2A77"/>
    <w:rsid w:val="003E54A7"/>
    <w:rsid w:val="003E7B4A"/>
    <w:rsid w:val="003E7BC4"/>
    <w:rsid w:val="003F0581"/>
    <w:rsid w:val="003F081D"/>
    <w:rsid w:val="003F1683"/>
    <w:rsid w:val="003F169D"/>
    <w:rsid w:val="003F2238"/>
    <w:rsid w:val="003F2E67"/>
    <w:rsid w:val="003F3C50"/>
    <w:rsid w:val="003F494B"/>
    <w:rsid w:val="003F5F5E"/>
    <w:rsid w:val="003F6D0B"/>
    <w:rsid w:val="003F73C1"/>
    <w:rsid w:val="003F7C28"/>
    <w:rsid w:val="003F7CA8"/>
    <w:rsid w:val="004004B9"/>
    <w:rsid w:val="00400DB5"/>
    <w:rsid w:val="00403E63"/>
    <w:rsid w:val="00404868"/>
    <w:rsid w:val="004060D4"/>
    <w:rsid w:val="00406D2A"/>
    <w:rsid w:val="004072D6"/>
    <w:rsid w:val="00407523"/>
    <w:rsid w:val="004103F0"/>
    <w:rsid w:val="00410CDE"/>
    <w:rsid w:val="00410D70"/>
    <w:rsid w:val="00410DAF"/>
    <w:rsid w:val="004114D6"/>
    <w:rsid w:val="00412308"/>
    <w:rsid w:val="004130CA"/>
    <w:rsid w:val="004140C6"/>
    <w:rsid w:val="0041436A"/>
    <w:rsid w:val="00414FCB"/>
    <w:rsid w:val="00416ED8"/>
    <w:rsid w:val="004172F9"/>
    <w:rsid w:val="00417EF0"/>
    <w:rsid w:val="00420BE1"/>
    <w:rsid w:val="00421786"/>
    <w:rsid w:val="00422808"/>
    <w:rsid w:val="00422EBB"/>
    <w:rsid w:val="00424CED"/>
    <w:rsid w:val="00426259"/>
    <w:rsid w:val="0042712F"/>
    <w:rsid w:val="004274CC"/>
    <w:rsid w:val="00430541"/>
    <w:rsid w:val="0043080D"/>
    <w:rsid w:val="00430E93"/>
    <w:rsid w:val="00430F49"/>
    <w:rsid w:val="00431BD6"/>
    <w:rsid w:val="0043247B"/>
    <w:rsid w:val="004324E8"/>
    <w:rsid w:val="00432B2B"/>
    <w:rsid w:val="00433144"/>
    <w:rsid w:val="00434262"/>
    <w:rsid w:val="004342D7"/>
    <w:rsid w:val="004344AD"/>
    <w:rsid w:val="00435326"/>
    <w:rsid w:val="00436186"/>
    <w:rsid w:val="00436E9E"/>
    <w:rsid w:val="00437431"/>
    <w:rsid w:val="00437EEB"/>
    <w:rsid w:val="004412FD"/>
    <w:rsid w:val="00442877"/>
    <w:rsid w:val="00442C82"/>
    <w:rsid w:val="00442D4F"/>
    <w:rsid w:val="00444370"/>
    <w:rsid w:val="00444FEE"/>
    <w:rsid w:val="004450E3"/>
    <w:rsid w:val="004504CB"/>
    <w:rsid w:val="00450B39"/>
    <w:rsid w:val="00450FA6"/>
    <w:rsid w:val="00451301"/>
    <w:rsid w:val="00451CF8"/>
    <w:rsid w:val="00451F4F"/>
    <w:rsid w:val="00454B4D"/>
    <w:rsid w:val="00455B6B"/>
    <w:rsid w:val="004572F6"/>
    <w:rsid w:val="0045732A"/>
    <w:rsid w:val="00460156"/>
    <w:rsid w:val="00460EA0"/>
    <w:rsid w:val="00462304"/>
    <w:rsid w:val="00462F90"/>
    <w:rsid w:val="00463230"/>
    <w:rsid w:val="00463776"/>
    <w:rsid w:val="00463FF7"/>
    <w:rsid w:val="00465EFA"/>
    <w:rsid w:val="004662A3"/>
    <w:rsid w:val="0046792E"/>
    <w:rsid w:val="00467C3B"/>
    <w:rsid w:val="00471858"/>
    <w:rsid w:val="004722F0"/>
    <w:rsid w:val="0047296C"/>
    <w:rsid w:val="00473183"/>
    <w:rsid w:val="00473226"/>
    <w:rsid w:val="004736A7"/>
    <w:rsid w:val="00475015"/>
    <w:rsid w:val="004759EB"/>
    <w:rsid w:val="00475A03"/>
    <w:rsid w:val="004800EF"/>
    <w:rsid w:val="0048195B"/>
    <w:rsid w:val="00481B66"/>
    <w:rsid w:val="00481E93"/>
    <w:rsid w:val="00481F9D"/>
    <w:rsid w:val="0048234C"/>
    <w:rsid w:val="00483044"/>
    <w:rsid w:val="00483254"/>
    <w:rsid w:val="0048433B"/>
    <w:rsid w:val="00484A28"/>
    <w:rsid w:val="0048582F"/>
    <w:rsid w:val="00485F16"/>
    <w:rsid w:val="00486162"/>
    <w:rsid w:val="004863E4"/>
    <w:rsid w:val="00486C8E"/>
    <w:rsid w:val="00486F79"/>
    <w:rsid w:val="00487102"/>
    <w:rsid w:val="00487C43"/>
    <w:rsid w:val="004918DF"/>
    <w:rsid w:val="00491B4C"/>
    <w:rsid w:val="00491C39"/>
    <w:rsid w:val="004922C2"/>
    <w:rsid w:val="0049366A"/>
    <w:rsid w:val="00493F52"/>
    <w:rsid w:val="00494184"/>
    <w:rsid w:val="0049578F"/>
    <w:rsid w:val="004957F2"/>
    <w:rsid w:val="00495D5A"/>
    <w:rsid w:val="00496C98"/>
    <w:rsid w:val="00497B4C"/>
    <w:rsid w:val="004A0171"/>
    <w:rsid w:val="004A056B"/>
    <w:rsid w:val="004A0728"/>
    <w:rsid w:val="004A0941"/>
    <w:rsid w:val="004A0C4A"/>
    <w:rsid w:val="004A1293"/>
    <w:rsid w:val="004A1D1E"/>
    <w:rsid w:val="004A1F45"/>
    <w:rsid w:val="004A214A"/>
    <w:rsid w:val="004A243A"/>
    <w:rsid w:val="004A2639"/>
    <w:rsid w:val="004A401B"/>
    <w:rsid w:val="004A413E"/>
    <w:rsid w:val="004A566C"/>
    <w:rsid w:val="004A5D6A"/>
    <w:rsid w:val="004A5E5C"/>
    <w:rsid w:val="004B1219"/>
    <w:rsid w:val="004B2580"/>
    <w:rsid w:val="004B2614"/>
    <w:rsid w:val="004B447B"/>
    <w:rsid w:val="004B44B7"/>
    <w:rsid w:val="004B49D1"/>
    <w:rsid w:val="004B4A31"/>
    <w:rsid w:val="004B4BBE"/>
    <w:rsid w:val="004B62DD"/>
    <w:rsid w:val="004C0DAD"/>
    <w:rsid w:val="004C4EB0"/>
    <w:rsid w:val="004C6121"/>
    <w:rsid w:val="004D086A"/>
    <w:rsid w:val="004D0922"/>
    <w:rsid w:val="004D13CC"/>
    <w:rsid w:val="004D2305"/>
    <w:rsid w:val="004D28C3"/>
    <w:rsid w:val="004D3020"/>
    <w:rsid w:val="004D32C1"/>
    <w:rsid w:val="004D46C8"/>
    <w:rsid w:val="004D500D"/>
    <w:rsid w:val="004D5488"/>
    <w:rsid w:val="004D5B34"/>
    <w:rsid w:val="004D5EF6"/>
    <w:rsid w:val="004D6780"/>
    <w:rsid w:val="004D6DA2"/>
    <w:rsid w:val="004D6E45"/>
    <w:rsid w:val="004D74D6"/>
    <w:rsid w:val="004D7DA8"/>
    <w:rsid w:val="004E15A5"/>
    <w:rsid w:val="004E1EDD"/>
    <w:rsid w:val="004E3F9D"/>
    <w:rsid w:val="004E5ADD"/>
    <w:rsid w:val="004E7CA3"/>
    <w:rsid w:val="004F0660"/>
    <w:rsid w:val="004F116A"/>
    <w:rsid w:val="004F2ECB"/>
    <w:rsid w:val="004F39D2"/>
    <w:rsid w:val="004F427C"/>
    <w:rsid w:val="004F6114"/>
    <w:rsid w:val="004F7270"/>
    <w:rsid w:val="004F7919"/>
    <w:rsid w:val="00500582"/>
    <w:rsid w:val="00501B4D"/>
    <w:rsid w:val="00502854"/>
    <w:rsid w:val="00502862"/>
    <w:rsid w:val="00503FBB"/>
    <w:rsid w:val="005057CA"/>
    <w:rsid w:val="005065F3"/>
    <w:rsid w:val="005074CA"/>
    <w:rsid w:val="005103EB"/>
    <w:rsid w:val="00511C40"/>
    <w:rsid w:val="00513A7B"/>
    <w:rsid w:val="005144AA"/>
    <w:rsid w:val="00514827"/>
    <w:rsid w:val="00514E1A"/>
    <w:rsid w:val="00515894"/>
    <w:rsid w:val="00515CB5"/>
    <w:rsid w:val="00516196"/>
    <w:rsid w:val="00516525"/>
    <w:rsid w:val="0052073B"/>
    <w:rsid w:val="00520967"/>
    <w:rsid w:val="00522655"/>
    <w:rsid w:val="00522B7B"/>
    <w:rsid w:val="0052399C"/>
    <w:rsid w:val="00523B1F"/>
    <w:rsid w:val="005241A6"/>
    <w:rsid w:val="005244FE"/>
    <w:rsid w:val="00524926"/>
    <w:rsid w:val="00525941"/>
    <w:rsid w:val="00525A99"/>
    <w:rsid w:val="00530526"/>
    <w:rsid w:val="005306C7"/>
    <w:rsid w:val="0053140C"/>
    <w:rsid w:val="00531A09"/>
    <w:rsid w:val="005328B8"/>
    <w:rsid w:val="00534F34"/>
    <w:rsid w:val="00535E2A"/>
    <w:rsid w:val="00542D17"/>
    <w:rsid w:val="00544F93"/>
    <w:rsid w:val="005462A9"/>
    <w:rsid w:val="00547617"/>
    <w:rsid w:val="00550585"/>
    <w:rsid w:val="0055072A"/>
    <w:rsid w:val="005514A5"/>
    <w:rsid w:val="00552665"/>
    <w:rsid w:val="005553B1"/>
    <w:rsid w:val="00555A97"/>
    <w:rsid w:val="005561B8"/>
    <w:rsid w:val="00557F21"/>
    <w:rsid w:val="0056010D"/>
    <w:rsid w:val="005613A3"/>
    <w:rsid w:val="00561B4A"/>
    <w:rsid w:val="00562130"/>
    <w:rsid w:val="00562BFB"/>
    <w:rsid w:val="005632E1"/>
    <w:rsid w:val="005633D1"/>
    <w:rsid w:val="00563DA4"/>
    <w:rsid w:val="00564367"/>
    <w:rsid w:val="00564B7A"/>
    <w:rsid w:val="00564D12"/>
    <w:rsid w:val="0056524B"/>
    <w:rsid w:val="005659CE"/>
    <w:rsid w:val="00565EDF"/>
    <w:rsid w:val="005661F2"/>
    <w:rsid w:val="00567D44"/>
    <w:rsid w:val="00570353"/>
    <w:rsid w:val="005710F1"/>
    <w:rsid w:val="00571327"/>
    <w:rsid w:val="00571849"/>
    <w:rsid w:val="00573D34"/>
    <w:rsid w:val="00575192"/>
    <w:rsid w:val="00575723"/>
    <w:rsid w:val="0057665D"/>
    <w:rsid w:val="00576AA3"/>
    <w:rsid w:val="00577DCF"/>
    <w:rsid w:val="005814E6"/>
    <w:rsid w:val="00581EAC"/>
    <w:rsid w:val="00582B27"/>
    <w:rsid w:val="00583B47"/>
    <w:rsid w:val="00584A17"/>
    <w:rsid w:val="00584E33"/>
    <w:rsid w:val="0058510E"/>
    <w:rsid w:val="0058538E"/>
    <w:rsid w:val="00585C9D"/>
    <w:rsid w:val="0058676B"/>
    <w:rsid w:val="00587E0B"/>
    <w:rsid w:val="00587E16"/>
    <w:rsid w:val="005907B7"/>
    <w:rsid w:val="00591C0F"/>
    <w:rsid w:val="00591E19"/>
    <w:rsid w:val="00595613"/>
    <w:rsid w:val="0059749E"/>
    <w:rsid w:val="00597522"/>
    <w:rsid w:val="005A065F"/>
    <w:rsid w:val="005A0869"/>
    <w:rsid w:val="005A0E90"/>
    <w:rsid w:val="005A1D56"/>
    <w:rsid w:val="005A1F42"/>
    <w:rsid w:val="005A203E"/>
    <w:rsid w:val="005A2A2D"/>
    <w:rsid w:val="005A444A"/>
    <w:rsid w:val="005A5318"/>
    <w:rsid w:val="005A739E"/>
    <w:rsid w:val="005A762C"/>
    <w:rsid w:val="005B1A13"/>
    <w:rsid w:val="005B26D8"/>
    <w:rsid w:val="005B29EF"/>
    <w:rsid w:val="005B2B03"/>
    <w:rsid w:val="005B2BE0"/>
    <w:rsid w:val="005B3855"/>
    <w:rsid w:val="005B42F8"/>
    <w:rsid w:val="005B5161"/>
    <w:rsid w:val="005B5BA8"/>
    <w:rsid w:val="005B608D"/>
    <w:rsid w:val="005B64C9"/>
    <w:rsid w:val="005B6C19"/>
    <w:rsid w:val="005B6CCC"/>
    <w:rsid w:val="005B793C"/>
    <w:rsid w:val="005B7C88"/>
    <w:rsid w:val="005B7F85"/>
    <w:rsid w:val="005C5BFC"/>
    <w:rsid w:val="005C6397"/>
    <w:rsid w:val="005C7541"/>
    <w:rsid w:val="005D146A"/>
    <w:rsid w:val="005D18C5"/>
    <w:rsid w:val="005D1D56"/>
    <w:rsid w:val="005D213B"/>
    <w:rsid w:val="005D4555"/>
    <w:rsid w:val="005D49D2"/>
    <w:rsid w:val="005D4AB3"/>
    <w:rsid w:val="005D5E79"/>
    <w:rsid w:val="005D660A"/>
    <w:rsid w:val="005D7006"/>
    <w:rsid w:val="005D76C6"/>
    <w:rsid w:val="005E0229"/>
    <w:rsid w:val="005E098E"/>
    <w:rsid w:val="005E1683"/>
    <w:rsid w:val="005E2663"/>
    <w:rsid w:val="005E27BA"/>
    <w:rsid w:val="005E2D49"/>
    <w:rsid w:val="005E2E16"/>
    <w:rsid w:val="005E3433"/>
    <w:rsid w:val="005E3917"/>
    <w:rsid w:val="005E4AB9"/>
    <w:rsid w:val="005E4C68"/>
    <w:rsid w:val="005E5108"/>
    <w:rsid w:val="005E5F06"/>
    <w:rsid w:val="005F0150"/>
    <w:rsid w:val="005F0A6F"/>
    <w:rsid w:val="005F1FE9"/>
    <w:rsid w:val="005F2057"/>
    <w:rsid w:val="005F32F5"/>
    <w:rsid w:val="005F46CB"/>
    <w:rsid w:val="005F4823"/>
    <w:rsid w:val="005F4A7E"/>
    <w:rsid w:val="005F4E14"/>
    <w:rsid w:val="005F54EE"/>
    <w:rsid w:val="005F66F6"/>
    <w:rsid w:val="005F6A6E"/>
    <w:rsid w:val="005F6CB8"/>
    <w:rsid w:val="005F73CF"/>
    <w:rsid w:val="006002AE"/>
    <w:rsid w:val="00600511"/>
    <w:rsid w:val="0060254F"/>
    <w:rsid w:val="00603B3D"/>
    <w:rsid w:val="00603CB7"/>
    <w:rsid w:val="00604AED"/>
    <w:rsid w:val="00605F50"/>
    <w:rsid w:val="00606AB2"/>
    <w:rsid w:val="00606BFF"/>
    <w:rsid w:val="0060708B"/>
    <w:rsid w:val="00610396"/>
    <w:rsid w:val="00610F04"/>
    <w:rsid w:val="00612363"/>
    <w:rsid w:val="00612A84"/>
    <w:rsid w:val="00612ADB"/>
    <w:rsid w:val="00612F29"/>
    <w:rsid w:val="006132B2"/>
    <w:rsid w:val="00615E41"/>
    <w:rsid w:val="006163C6"/>
    <w:rsid w:val="00621666"/>
    <w:rsid w:val="00621A08"/>
    <w:rsid w:val="00621DEE"/>
    <w:rsid w:val="006222EC"/>
    <w:rsid w:val="00622AF0"/>
    <w:rsid w:val="00623A69"/>
    <w:rsid w:val="00624F58"/>
    <w:rsid w:val="00625B9B"/>
    <w:rsid w:val="00626314"/>
    <w:rsid w:val="006275C2"/>
    <w:rsid w:val="006275CB"/>
    <w:rsid w:val="00627AE2"/>
    <w:rsid w:val="00627C39"/>
    <w:rsid w:val="00632FF5"/>
    <w:rsid w:val="00634ADA"/>
    <w:rsid w:val="00634EA7"/>
    <w:rsid w:val="006361D9"/>
    <w:rsid w:val="006371FC"/>
    <w:rsid w:val="00637645"/>
    <w:rsid w:val="006378CE"/>
    <w:rsid w:val="00637A2C"/>
    <w:rsid w:val="00643D0A"/>
    <w:rsid w:val="00645629"/>
    <w:rsid w:val="00646831"/>
    <w:rsid w:val="00647313"/>
    <w:rsid w:val="00647D2E"/>
    <w:rsid w:val="00651897"/>
    <w:rsid w:val="006521C8"/>
    <w:rsid w:val="00652215"/>
    <w:rsid w:val="006532ED"/>
    <w:rsid w:val="00653D38"/>
    <w:rsid w:val="006545A7"/>
    <w:rsid w:val="00654DF4"/>
    <w:rsid w:val="00655578"/>
    <w:rsid w:val="0065587B"/>
    <w:rsid w:val="00656836"/>
    <w:rsid w:val="00656E16"/>
    <w:rsid w:val="00660241"/>
    <w:rsid w:val="00660540"/>
    <w:rsid w:val="00660859"/>
    <w:rsid w:val="006608E3"/>
    <w:rsid w:val="00661A98"/>
    <w:rsid w:val="00661AE5"/>
    <w:rsid w:val="006632ED"/>
    <w:rsid w:val="006637FA"/>
    <w:rsid w:val="00665A0F"/>
    <w:rsid w:val="00665BA2"/>
    <w:rsid w:val="0066730E"/>
    <w:rsid w:val="00670217"/>
    <w:rsid w:val="00670A64"/>
    <w:rsid w:val="00670EBA"/>
    <w:rsid w:val="0067213B"/>
    <w:rsid w:val="006721D9"/>
    <w:rsid w:val="006727C6"/>
    <w:rsid w:val="00673325"/>
    <w:rsid w:val="006736D5"/>
    <w:rsid w:val="006757BD"/>
    <w:rsid w:val="00676624"/>
    <w:rsid w:val="00677EC3"/>
    <w:rsid w:val="00680308"/>
    <w:rsid w:val="00680C89"/>
    <w:rsid w:val="006810E9"/>
    <w:rsid w:val="006813F8"/>
    <w:rsid w:val="00681AAF"/>
    <w:rsid w:val="00681CDB"/>
    <w:rsid w:val="00684D80"/>
    <w:rsid w:val="00687F13"/>
    <w:rsid w:val="00690EDD"/>
    <w:rsid w:val="006913A1"/>
    <w:rsid w:val="00691895"/>
    <w:rsid w:val="00692573"/>
    <w:rsid w:val="00692F68"/>
    <w:rsid w:val="006935D7"/>
    <w:rsid w:val="006936AC"/>
    <w:rsid w:val="006937A1"/>
    <w:rsid w:val="00694D02"/>
    <w:rsid w:val="00694FC3"/>
    <w:rsid w:val="00695230"/>
    <w:rsid w:val="006955ED"/>
    <w:rsid w:val="00695D2F"/>
    <w:rsid w:val="00695E29"/>
    <w:rsid w:val="006962F6"/>
    <w:rsid w:val="00696476"/>
    <w:rsid w:val="00696DE0"/>
    <w:rsid w:val="0069786D"/>
    <w:rsid w:val="00697BD1"/>
    <w:rsid w:val="006A02E8"/>
    <w:rsid w:val="006A0796"/>
    <w:rsid w:val="006A0C3F"/>
    <w:rsid w:val="006A2CC7"/>
    <w:rsid w:val="006A3275"/>
    <w:rsid w:val="006A4005"/>
    <w:rsid w:val="006A5BD8"/>
    <w:rsid w:val="006A603C"/>
    <w:rsid w:val="006A6912"/>
    <w:rsid w:val="006A698F"/>
    <w:rsid w:val="006B1404"/>
    <w:rsid w:val="006B1720"/>
    <w:rsid w:val="006B22F7"/>
    <w:rsid w:val="006B2961"/>
    <w:rsid w:val="006B2AFE"/>
    <w:rsid w:val="006B2E89"/>
    <w:rsid w:val="006B35D7"/>
    <w:rsid w:val="006B43EF"/>
    <w:rsid w:val="006B4726"/>
    <w:rsid w:val="006B4BE4"/>
    <w:rsid w:val="006B539C"/>
    <w:rsid w:val="006B6A47"/>
    <w:rsid w:val="006B6C5A"/>
    <w:rsid w:val="006B7567"/>
    <w:rsid w:val="006C04DF"/>
    <w:rsid w:val="006C0965"/>
    <w:rsid w:val="006C1041"/>
    <w:rsid w:val="006C1B30"/>
    <w:rsid w:val="006C1DDC"/>
    <w:rsid w:val="006C2342"/>
    <w:rsid w:val="006C28BF"/>
    <w:rsid w:val="006C2B3E"/>
    <w:rsid w:val="006C35DE"/>
    <w:rsid w:val="006C5237"/>
    <w:rsid w:val="006C5AED"/>
    <w:rsid w:val="006C5B3B"/>
    <w:rsid w:val="006C6C13"/>
    <w:rsid w:val="006D0A8C"/>
    <w:rsid w:val="006D0AB1"/>
    <w:rsid w:val="006D0D3C"/>
    <w:rsid w:val="006D3005"/>
    <w:rsid w:val="006D31DC"/>
    <w:rsid w:val="006D3DF5"/>
    <w:rsid w:val="006D4BD1"/>
    <w:rsid w:val="006D5D52"/>
    <w:rsid w:val="006D5FD2"/>
    <w:rsid w:val="006D69CD"/>
    <w:rsid w:val="006D7174"/>
    <w:rsid w:val="006E09E3"/>
    <w:rsid w:val="006E0A54"/>
    <w:rsid w:val="006E2533"/>
    <w:rsid w:val="006E2A82"/>
    <w:rsid w:val="006E4108"/>
    <w:rsid w:val="006E44EC"/>
    <w:rsid w:val="006E4692"/>
    <w:rsid w:val="006E626D"/>
    <w:rsid w:val="006E6BE9"/>
    <w:rsid w:val="006F185B"/>
    <w:rsid w:val="006F1AE6"/>
    <w:rsid w:val="006F2453"/>
    <w:rsid w:val="006F3AF3"/>
    <w:rsid w:val="006F3EA9"/>
    <w:rsid w:val="006F5DE0"/>
    <w:rsid w:val="006F5FDC"/>
    <w:rsid w:val="006F67CD"/>
    <w:rsid w:val="006F6A72"/>
    <w:rsid w:val="006F73BE"/>
    <w:rsid w:val="0070218A"/>
    <w:rsid w:val="00702357"/>
    <w:rsid w:val="007023A6"/>
    <w:rsid w:val="007023B5"/>
    <w:rsid w:val="00703144"/>
    <w:rsid w:val="00704E64"/>
    <w:rsid w:val="00704EDD"/>
    <w:rsid w:val="007058E5"/>
    <w:rsid w:val="00705DD7"/>
    <w:rsid w:val="00705F93"/>
    <w:rsid w:val="007060A0"/>
    <w:rsid w:val="0070696F"/>
    <w:rsid w:val="0070781E"/>
    <w:rsid w:val="00711251"/>
    <w:rsid w:val="00711B53"/>
    <w:rsid w:val="007122AA"/>
    <w:rsid w:val="0071233A"/>
    <w:rsid w:val="00712D2C"/>
    <w:rsid w:val="00713264"/>
    <w:rsid w:val="007134E4"/>
    <w:rsid w:val="00713786"/>
    <w:rsid w:val="00713CA3"/>
    <w:rsid w:val="00713E19"/>
    <w:rsid w:val="0071571D"/>
    <w:rsid w:val="0071628B"/>
    <w:rsid w:val="007165A0"/>
    <w:rsid w:val="00716981"/>
    <w:rsid w:val="00716E7E"/>
    <w:rsid w:val="00717004"/>
    <w:rsid w:val="007177EC"/>
    <w:rsid w:val="00717E96"/>
    <w:rsid w:val="007206E0"/>
    <w:rsid w:val="00722148"/>
    <w:rsid w:val="007236F7"/>
    <w:rsid w:val="007237DC"/>
    <w:rsid w:val="00723B09"/>
    <w:rsid w:val="00724EE0"/>
    <w:rsid w:val="00724F15"/>
    <w:rsid w:val="00725147"/>
    <w:rsid w:val="007254D3"/>
    <w:rsid w:val="00726999"/>
    <w:rsid w:val="007306AB"/>
    <w:rsid w:val="007319D9"/>
    <w:rsid w:val="0073236A"/>
    <w:rsid w:val="00733175"/>
    <w:rsid w:val="00734181"/>
    <w:rsid w:val="00735DA9"/>
    <w:rsid w:val="00736BAE"/>
    <w:rsid w:val="00737396"/>
    <w:rsid w:val="00740066"/>
    <w:rsid w:val="0074025B"/>
    <w:rsid w:val="00741ACF"/>
    <w:rsid w:val="00742AD8"/>
    <w:rsid w:val="00742BAD"/>
    <w:rsid w:val="0074339D"/>
    <w:rsid w:val="0074342D"/>
    <w:rsid w:val="0074418F"/>
    <w:rsid w:val="00745D67"/>
    <w:rsid w:val="00746B37"/>
    <w:rsid w:val="0074728E"/>
    <w:rsid w:val="00751217"/>
    <w:rsid w:val="0075181D"/>
    <w:rsid w:val="00751CBB"/>
    <w:rsid w:val="00752E20"/>
    <w:rsid w:val="00753B0B"/>
    <w:rsid w:val="0075453D"/>
    <w:rsid w:val="007546C5"/>
    <w:rsid w:val="007549F9"/>
    <w:rsid w:val="00755B71"/>
    <w:rsid w:val="00755D11"/>
    <w:rsid w:val="00756B55"/>
    <w:rsid w:val="00757018"/>
    <w:rsid w:val="007573E9"/>
    <w:rsid w:val="00757D74"/>
    <w:rsid w:val="00762620"/>
    <w:rsid w:val="007630D2"/>
    <w:rsid w:val="007659EB"/>
    <w:rsid w:val="00766233"/>
    <w:rsid w:val="00766AD6"/>
    <w:rsid w:val="00767617"/>
    <w:rsid w:val="0076777A"/>
    <w:rsid w:val="00767FD3"/>
    <w:rsid w:val="007701A8"/>
    <w:rsid w:val="007708C2"/>
    <w:rsid w:val="00772F89"/>
    <w:rsid w:val="007735FE"/>
    <w:rsid w:val="00774248"/>
    <w:rsid w:val="00774361"/>
    <w:rsid w:val="00775D6F"/>
    <w:rsid w:val="007764BD"/>
    <w:rsid w:val="00776CD6"/>
    <w:rsid w:val="00777B11"/>
    <w:rsid w:val="007800DE"/>
    <w:rsid w:val="00780E34"/>
    <w:rsid w:val="0078186C"/>
    <w:rsid w:val="00782C08"/>
    <w:rsid w:val="00782E0D"/>
    <w:rsid w:val="007857C1"/>
    <w:rsid w:val="007859AE"/>
    <w:rsid w:val="00786398"/>
    <w:rsid w:val="007864AF"/>
    <w:rsid w:val="00786507"/>
    <w:rsid w:val="00787D9A"/>
    <w:rsid w:val="007901C6"/>
    <w:rsid w:val="00790706"/>
    <w:rsid w:val="00790DD6"/>
    <w:rsid w:val="007916DF"/>
    <w:rsid w:val="00792A44"/>
    <w:rsid w:val="00793470"/>
    <w:rsid w:val="007948A3"/>
    <w:rsid w:val="00795229"/>
    <w:rsid w:val="007952AE"/>
    <w:rsid w:val="00795640"/>
    <w:rsid w:val="00795944"/>
    <w:rsid w:val="00795A6A"/>
    <w:rsid w:val="00796E89"/>
    <w:rsid w:val="00797A0B"/>
    <w:rsid w:val="00797C5B"/>
    <w:rsid w:val="007A1F3A"/>
    <w:rsid w:val="007A2852"/>
    <w:rsid w:val="007A4A4E"/>
    <w:rsid w:val="007A4B10"/>
    <w:rsid w:val="007A4CD3"/>
    <w:rsid w:val="007A5110"/>
    <w:rsid w:val="007A6A29"/>
    <w:rsid w:val="007A7001"/>
    <w:rsid w:val="007A748C"/>
    <w:rsid w:val="007A79FC"/>
    <w:rsid w:val="007A7AB3"/>
    <w:rsid w:val="007B09DA"/>
    <w:rsid w:val="007B0B46"/>
    <w:rsid w:val="007B152A"/>
    <w:rsid w:val="007B3D19"/>
    <w:rsid w:val="007B4499"/>
    <w:rsid w:val="007B490F"/>
    <w:rsid w:val="007B4DB9"/>
    <w:rsid w:val="007B4DD6"/>
    <w:rsid w:val="007B7AD8"/>
    <w:rsid w:val="007C0154"/>
    <w:rsid w:val="007C1254"/>
    <w:rsid w:val="007C3865"/>
    <w:rsid w:val="007C4088"/>
    <w:rsid w:val="007C4600"/>
    <w:rsid w:val="007C5E94"/>
    <w:rsid w:val="007C5F0D"/>
    <w:rsid w:val="007C6096"/>
    <w:rsid w:val="007C641D"/>
    <w:rsid w:val="007C6836"/>
    <w:rsid w:val="007C7AB0"/>
    <w:rsid w:val="007D1DCE"/>
    <w:rsid w:val="007D4095"/>
    <w:rsid w:val="007D4568"/>
    <w:rsid w:val="007D4665"/>
    <w:rsid w:val="007D481F"/>
    <w:rsid w:val="007D54EB"/>
    <w:rsid w:val="007D5AFE"/>
    <w:rsid w:val="007D72D6"/>
    <w:rsid w:val="007E0160"/>
    <w:rsid w:val="007E05E1"/>
    <w:rsid w:val="007E06EC"/>
    <w:rsid w:val="007E0D58"/>
    <w:rsid w:val="007E18EE"/>
    <w:rsid w:val="007E2C9C"/>
    <w:rsid w:val="007E63C9"/>
    <w:rsid w:val="007E6414"/>
    <w:rsid w:val="007E721E"/>
    <w:rsid w:val="007E7D70"/>
    <w:rsid w:val="007F377C"/>
    <w:rsid w:val="007F3BA5"/>
    <w:rsid w:val="007F4276"/>
    <w:rsid w:val="007F4343"/>
    <w:rsid w:val="007F46F6"/>
    <w:rsid w:val="007F5EE9"/>
    <w:rsid w:val="007F6170"/>
    <w:rsid w:val="007F67A4"/>
    <w:rsid w:val="007F6B78"/>
    <w:rsid w:val="007F6DFF"/>
    <w:rsid w:val="007F76D6"/>
    <w:rsid w:val="00800848"/>
    <w:rsid w:val="008024D4"/>
    <w:rsid w:val="00803743"/>
    <w:rsid w:val="008038D6"/>
    <w:rsid w:val="0080392C"/>
    <w:rsid w:val="008043CE"/>
    <w:rsid w:val="0080537C"/>
    <w:rsid w:val="008066CF"/>
    <w:rsid w:val="0080673F"/>
    <w:rsid w:val="00812A83"/>
    <w:rsid w:val="008148C9"/>
    <w:rsid w:val="00814DA7"/>
    <w:rsid w:val="00815018"/>
    <w:rsid w:val="00816DBD"/>
    <w:rsid w:val="0082023A"/>
    <w:rsid w:val="00822BB7"/>
    <w:rsid w:val="00822E51"/>
    <w:rsid w:val="00823B61"/>
    <w:rsid w:val="00823CC7"/>
    <w:rsid w:val="00824012"/>
    <w:rsid w:val="00825D98"/>
    <w:rsid w:val="00825FD1"/>
    <w:rsid w:val="0083041E"/>
    <w:rsid w:val="008321EB"/>
    <w:rsid w:val="008325BE"/>
    <w:rsid w:val="00833CBE"/>
    <w:rsid w:val="008341CF"/>
    <w:rsid w:val="00834725"/>
    <w:rsid w:val="00836CDA"/>
    <w:rsid w:val="00836D5E"/>
    <w:rsid w:val="00837C38"/>
    <w:rsid w:val="00840DFD"/>
    <w:rsid w:val="0084133D"/>
    <w:rsid w:val="00841C22"/>
    <w:rsid w:val="00842080"/>
    <w:rsid w:val="00842100"/>
    <w:rsid w:val="008427AE"/>
    <w:rsid w:val="0084315E"/>
    <w:rsid w:val="008432B2"/>
    <w:rsid w:val="00843528"/>
    <w:rsid w:val="008442EF"/>
    <w:rsid w:val="0084490B"/>
    <w:rsid w:val="0084561B"/>
    <w:rsid w:val="00845730"/>
    <w:rsid w:val="00845A0E"/>
    <w:rsid w:val="00845E34"/>
    <w:rsid w:val="008500C0"/>
    <w:rsid w:val="008506DA"/>
    <w:rsid w:val="0085094C"/>
    <w:rsid w:val="00851509"/>
    <w:rsid w:val="00852745"/>
    <w:rsid w:val="008534AA"/>
    <w:rsid w:val="00853BC0"/>
    <w:rsid w:val="0085542B"/>
    <w:rsid w:val="0085682C"/>
    <w:rsid w:val="008612CE"/>
    <w:rsid w:val="008618F1"/>
    <w:rsid w:val="008624E4"/>
    <w:rsid w:val="00862CEE"/>
    <w:rsid w:val="00863CE2"/>
    <w:rsid w:val="008656B6"/>
    <w:rsid w:val="008669B7"/>
    <w:rsid w:val="00866C4B"/>
    <w:rsid w:val="00867771"/>
    <w:rsid w:val="00867B17"/>
    <w:rsid w:val="00867F32"/>
    <w:rsid w:val="008700BC"/>
    <w:rsid w:val="00870AD9"/>
    <w:rsid w:val="00872406"/>
    <w:rsid w:val="00872F99"/>
    <w:rsid w:val="00873679"/>
    <w:rsid w:val="008738CC"/>
    <w:rsid w:val="00874BCF"/>
    <w:rsid w:val="0087710A"/>
    <w:rsid w:val="00877651"/>
    <w:rsid w:val="00877A29"/>
    <w:rsid w:val="00880605"/>
    <w:rsid w:val="0088189C"/>
    <w:rsid w:val="00882F22"/>
    <w:rsid w:val="00883FCD"/>
    <w:rsid w:val="0088427A"/>
    <w:rsid w:val="00884F95"/>
    <w:rsid w:val="0088517D"/>
    <w:rsid w:val="00885461"/>
    <w:rsid w:val="00885EBF"/>
    <w:rsid w:val="00886406"/>
    <w:rsid w:val="008873B9"/>
    <w:rsid w:val="008904F9"/>
    <w:rsid w:val="00891297"/>
    <w:rsid w:val="008913E6"/>
    <w:rsid w:val="00895CED"/>
    <w:rsid w:val="00895E81"/>
    <w:rsid w:val="00896E7D"/>
    <w:rsid w:val="00897CB4"/>
    <w:rsid w:val="008A0243"/>
    <w:rsid w:val="008A034E"/>
    <w:rsid w:val="008A0585"/>
    <w:rsid w:val="008A05FB"/>
    <w:rsid w:val="008A19F4"/>
    <w:rsid w:val="008A1F4A"/>
    <w:rsid w:val="008A38F2"/>
    <w:rsid w:val="008A3982"/>
    <w:rsid w:val="008A4F31"/>
    <w:rsid w:val="008A51B8"/>
    <w:rsid w:val="008A534E"/>
    <w:rsid w:val="008A53D8"/>
    <w:rsid w:val="008A55F0"/>
    <w:rsid w:val="008A5AED"/>
    <w:rsid w:val="008A6BD3"/>
    <w:rsid w:val="008A6EF8"/>
    <w:rsid w:val="008A71CC"/>
    <w:rsid w:val="008A71F3"/>
    <w:rsid w:val="008A7A17"/>
    <w:rsid w:val="008B0E27"/>
    <w:rsid w:val="008B1FD8"/>
    <w:rsid w:val="008B3143"/>
    <w:rsid w:val="008B35F4"/>
    <w:rsid w:val="008B5296"/>
    <w:rsid w:val="008B5672"/>
    <w:rsid w:val="008B7309"/>
    <w:rsid w:val="008B7315"/>
    <w:rsid w:val="008B7E7E"/>
    <w:rsid w:val="008C12CE"/>
    <w:rsid w:val="008C248D"/>
    <w:rsid w:val="008C4183"/>
    <w:rsid w:val="008C4969"/>
    <w:rsid w:val="008C792B"/>
    <w:rsid w:val="008C7EC5"/>
    <w:rsid w:val="008C7F27"/>
    <w:rsid w:val="008D00EF"/>
    <w:rsid w:val="008D0D95"/>
    <w:rsid w:val="008D0DEB"/>
    <w:rsid w:val="008D1DC9"/>
    <w:rsid w:val="008D2BE3"/>
    <w:rsid w:val="008D468A"/>
    <w:rsid w:val="008D4AE5"/>
    <w:rsid w:val="008D5B5C"/>
    <w:rsid w:val="008D71A4"/>
    <w:rsid w:val="008E3862"/>
    <w:rsid w:val="008E5A34"/>
    <w:rsid w:val="008E5C88"/>
    <w:rsid w:val="008E5E3A"/>
    <w:rsid w:val="008E6CEB"/>
    <w:rsid w:val="008E7CFB"/>
    <w:rsid w:val="008F0627"/>
    <w:rsid w:val="008F1B68"/>
    <w:rsid w:val="008F3B13"/>
    <w:rsid w:val="008F4F87"/>
    <w:rsid w:val="008F57E4"/>
    <w:rsid w:val="008F5DBA"/>
    <w:rsid w:val="008F5F8D"/>
    <w:rsid w:val="009005FF"/>
    <w:rsid w:val="0090102D"/>
    <w:rsid w:val="00901930"/>
    <w:rsid w:val="00901E3F"/>
    <w:rsid w:val="00902C33"/>
    <w:rsid w:val="009034B7"/>
    <w:rsid w:val="0090352D"/>
    <w:rsid w:val="009038A4"/>
    <w:rsid w:val="00904933"/>
    <w:rsid w:val="00905C6B"/>
    <w:rsid w:val="00910573"/>
    <w:rsid w:val="009108F8"/>
    <w:rsid w:val="00910BC9"/>
    <w:rsid w:val="0091278A"/>
    <w:rsid w:val="00913D87"/>
    <w:rsid w:val="0091411E"/>
    <w:rsid w:val="00914434"/>
    <w:rsid w:val="009145E7"/>
    <w:rsid w:val="00914F3C"/>
    <w:rsid w:val="0091580C"/>
    <w:rsid w:val="00915ED8"/>
    <w:rsid w:val="0091787C"/>
    <w:rsid w:val="00917987"/>
    <w:rsid w:val="00920603"/>
    <w:rsid w:val="009208AD"/>
    <w:rsid w:val="009214DC"/>
    <w:rsid w:val="0092248E"/>
    <w:rsid w:val="00922B2B"/>
    <w:rsid w:val="00922F7E"/>
    <w:rsid w:val="009232E6"/>
    <w:rsid w:val="009241AF"/>
    <w:rsid w:val="00924804"/>
    <w:rsid w:val="00924885"/>
    <w:rsid w:val="00925360"/>
    <w:rsid w:val="00932BDF"/>
    <w:rsid w:val="00933181"/>
    <w:rsid w:val="00933B00"/>
    <w:rsid w:val="00933D3F"/>
    <w:rsid w:val="00935F6B"/>
    <w:rsid w:val="009377C2"/>
    <w:rsid w:val="00940E1F"/>
    <w:rsid w:val="00941AC5"/>
    <w:rsid w:val="009424FA"/>
    <w:rsid w:val="00942D21"/>
    <w:rsid w:val="00943814"/>
    <w:rsid w:val="00945DA1"/>
    <w:rsid w:val="00945E6C"/>
    <w:rsid w:val="00946BBB"/>
    <w:rsid w:val="00951CA0"/>
    <w:rsid w:val="00953184"/>
    <w:rsid w:val="0095332A"/>
    <w:rsid w:val="0095367D"/>
    <w:rsid w:val="009538EA"/>
    <w:rsid w:val="00953A30"/>
    <w:rsid w:val="00953EE1"/>
    <w:rsid w:val="0095517F"/>
    <w:rsid w:val="00955837"/>
    <w:rsid w:val="0095624D"/>
    <w:rsid w:val="00956ECE"/>
    <w:rsid w:val="00957211"/>
    <w:rsid w:val="00957C36"/>
    <w:rsid w:val="00961A5B"/>
    <w:rsid w:val="00962079"/>
    <w:rsid w:val="00962E18"/>
    <w:rsid w:val="00962F08"/>
    <w:rsid w:val="0096356A"/>
    <w:rsid w:val="00963BEB"/>
    <w:rsid w:val="009648A8"/>
    <w:rsid w:val="009658E3"/>
    <w:rsid w:val="00966197"/>
    <w:rsid w:val="0096690B"/>
    <w:rsid w:val="00966CCD"/>
    <w:rsid w:val="009672C9"/>
    <w:rsid w:val="00967538"/>
    <w:rsid w:val="00970500"/>
    <w:rsid w:val="00970DD0"/>
    <w:rsid w:val="00972617"/>
    <w:rsid w:val="00972BFD"/>
    <w:rsid w:val="0097358C"/>
    <w:rsid w:val="00973A0D"/>
    <w:rsid w:val="00974131"/>
    <w:rsid w:val="00974385"/>
    <w:rsid w:val="009746CE"/>
    <w:rsid w:val="00980708"/>
    <w:rsid w:val="00981DF0"/>
    <w:rsid w:val="00981EA2"/>
    <w:rsid w:val="00983142"/>
    <w:rsid w:val="00983AC0"/>
    <w:rsid w:val="00987FB3"/>
    <w:rsid w:val="0099031C"/>
    <w:rsid w:val="00990878"/>
    <w:rsid w:val="00991F01"/>
    <w:rsid w:val="00992F23"/>
    <w:rsid w:val="00993402"/>
    <w:rsid w:val="009934F4"/>
    <w:rsid w:val="00994455"/>
    <w:rsid w:val="0099471B"/>
    <w:rsid w:val="00996433"/>
    <w:rsid w:val="00997427"/>
    <w:rsid w:val="009979A4"/>
    <w:rsid w:val="009A0C2C"/>
    <w:rsid w:val="009A2D28"/>
    <w:rsid w:val="009A4034"/>
    <w:rsid w:val="009A41D4"/>
    <w:rsid w:val="009A4FC3"/>
    <w:rsid w:val="009A5D89"/>
    <w:rsid w:val="009A5E74"/>
    <w:rsid w:val="009A5E7F"/>
    <w:rsid w:val="009A688A"/>
    <w:rsid w:val="009B0166"/>
    <w:rsid w:val="009B14BA"/>
    <w:rsid w:val="009B3412"/>
    <w:rsid w:val="009B3A93"/>
    <w:rsid w:val="009B43DA"/>
    <w:rsid w:val="009B4418"/>
    <w:rsid w:val="009B477F"/>
    <w:rsid w:val="009B490F"/>
    <w:rsid w:val="009B5425"/>
    <w:rsid w:val="009B553C"/>
    <w:rsid w:val="009B5AAE"/>
    <w:rsid w:val="009B5D41"/>
    <w:rsid w:val="009B69A8"/>
    <w:rsid w:val="009B7E8B"/>
    <w:rsid w:val="009C0341"/>
    <w:rsid w:val="009C1EAB"/>
    <w:rsid w:val="009C3949"/>
    <w:rsid w:val="009C3B2E"/>
    <w:rsid w:val="009C4007"/>
    <w:rsid w:val="009C584D"/>
    <w:rsid w:val="009C61ED"/>
    <w:rsid w:val="009C67D8"/>
    <w:rsid w:val="009C7186"/>
    <w:rsid w:val="009C774E"/>
    <w:rsid w:val="009C7B50"/>
    <w:rsid w:val="009C7CDF"/>
    <w:rsid w:val="009D0755"/>
    <w:rsid w:val="009D30EF"/>
    <w:rsid w:val="009D3A35"/>
    <w:rsid w:val="009D4E21"/>
    <w:rsid w:val="009D527E"/>
    <w:rsid w:val="009D60F2"/>
    <w:rsid w:val="009D675A"/>
    <w:rsid w:val="009D7AED"/>
    <w:rsid w:val="009D7D9C"/>
    <w:rsid w:val="009D7D9E"/>
    <w:rsid w:val="009E0441"/>
    <w:rsid w:val="009E0670"/>
    <w:rsid w:val="009E0D3A"/>
    <w:rsid w:val="009E1D8F"/>
    <w:rsid w:val="009E2C2D"/>
    <w:rsid w:val="009E3DCF"/>
    <w:rsid w:val="009E3EE2"/>
    <w:rsid w:val="009E5563"/>
    <w:rsid w:val="009E55CA"/>
    <w:rsid w:val="009E5AA7"/>
    <w:rsid w:val="009F05DE"/>
    <w:rsid w:val="009F1BA5"/>
    <w:rsid w:val="009F25D6"/>
    <w:rsid w:val="009F2FA6"/>
    <w:rsid w:val="009F35C1"/>
    <w:rsid w:val="009F4EBC"/>
    <w:rsid w:val="009F54C2"/>
    <w:rsid w:val="009F5839"/>
    <w:rsid w:val="009F6317"/>
    <w:rsid w:val="009F6738"/>
    <w:rsid w:val="009F6828"/>
    <w:rsid w:val="009F744B"/>
    <w:rsid w:val="009F7DCD"/>
    <w:rsid w:val="00A0097A"/>
    <w:rsid w:val="00A01B5D"/>
    <w:rsid w:val="00A01C9C"/>
    <w:rsid w:val="00A02C7C"/>
    <w:rsid w:val="00A03E80"/>
    <w:rsid w:val="00A0411B"/>
    <w:rsid w:val="00A04154"/>
    <w:rsid w:val="00A05D50"/>
    <w:rsid w:val="00A10957"/>
    <w:rsid w:val="00A10E48"/>
    <w:rsid w:val="00A130DB"/>
    <w:rsid w:val="00A13222"/>
    <w:rsid w:val="00A163A1"/>
    <w:rsid w:val="00A171DA"/>
    <w:rsid w:val="00A20E8A"/>
    <w:rsid w:val="00A212F4"/>
    <w:rsid w:val="00A21BD7"/>
    <w:rsid w:val="00A2263B"/>
    <w:rsid w:val="00A22AC1"/>
    <w:rsid w:val="00A23126"/>
    <w:rsid w:val="00A23A5B"/>
    <w:rsid w:val="00A2402A"/>
    <w:rsid w:val="00A2505C"/>
    <w:rsid w:val="00A25205"/>
    <w:rsid w:val="00A25325"/>
    <w:rsid w:val="00A25EB7"/>
    <w:rsid w:val="00A260CC"/>
    <w:rsid w:val="00A26A09"/>
    <w:rsid w:val="00A2741F"/>
    <w:rsid w:val="00A27A32"/>
    <w:rsid w:val="00A27ECC"/>
    <w:rsid w:val="00A303F3"/>
    <w:rsid w:val="00A30D86"/>
    <w:rsid w:val="00A30F3F"/>
    <w:rsid w:val="00A31D67"/>
    <w:rsid w:val="00A332C3"/>
    <w:rsid w:val="00A339A3"/>
    <w:rsid w:val="00A33B57"/>
    <w:rsid w:val="00A34601"/>
    <w:rsid w:val="00A34BB1"/>
    <w:rsid w:val="00A34C1D"/>
    <w:rsid w:val="00A34CBF"/>
    <w:rsid w:val="00A367AB"/>
    <w:rsid w:val="00A37106"/>
    <w:rsid w:val="00A37CC4"/>
    <w:rsid w:val="00A40EEE"/>
    <w:rsid w:val="00A4188B"/>
    <w:rsid w:val="00A41A9B"/>
    <w:rsid w:val="00A41C21"/>
    <w:rsid w:val="00A41EEF"/>
    <w:rsid w:val="00A42A4E"/>
    <w:rsid w:val="00A42A85"/>
    <w:rsid w:val="00A42D22"/>
    <w:rsid w:val="00A43BC7"/>
    <w:rsid w:val="00A44D14"/>
    <w:rsid w:val="00A453A8"/>
    <w:rsid w:val="00A460CD"/>
    <w:rsid w:val="00A46EA2"/>
    <w:rsid w:val="00A50D81"/>
    <w:rsid w:val="00A51209"/>
    <w:rsid w:val="00A53F4C"/>
    <w:rsid w:val="00A5515C"/>
    <w:rsid w:val="00A55A08"/>
    <w:rsid w:val="00A56729"/>
    <w:rsid w:val="00A5689F"/>
    <w:rsid w:val="00A575D0"/>
    <w:rsid w:val="00A60B9A"/>
    <w:rsid w:val="00A60DB3"/>
    <w:rsid w:val="00A60E0F"/>
    <w:rsid w:val="00A60F0A"/>
    <w:rsid w:val="00A616AD"/>
    <w:rsid w:val="00A638D8"/>
    <w:rsid w:val="00A642EA"/>
    <w:rsid w:val="00A6479C"/>
    <w:rsid w:val="00A65590"/>
    <w:rsid w:val="00A664AF"/>
    <w:rsid w:val="00A667B4"/>
    <w:rsid w:val="00A6760A"/>
    <w:rsid w:val="00A67802"/>
    <w:rsid w:val="00A70053"/>
    <w:rsid w:val="00A707E8"/>
    <w:rsid w:val="00A72270"/>
    <w:rsid w:val="00A7303E"/>
    <w:rsid w:val="00A7446D"/>
    <w:rsid w:val="00A75D87"/>
    <w:rsid w:val="00A75DFB"/>
    <w:rsid w:val="00A80B78"/>
    <w:rsid w:val="00A80B7B"/>
    <w:rsid w:val="00A818AF"/>
    <w:rsid w:val="00A82177"/>
    <w:rsid w:val="00A8281C"/>
    <w:rsid w:val="00A8373C"/>
    <w:rsid w:val="00A84167"/>
    <w:rsid w:val="00A8493A"/>
    <w:rsid w:val="00A85883"/>
    <w:rsid w:val="00A858A4"/>
    <w:rsid w:val="00A85B4A"/>
    <w:rsid w:val="00A85B69"/>
    <w:rsid w:val="00A8780F"/>
    <w:rsid w:val="00A902E0"/>
    <w:rsid w:val="00A9058C"/>
    <w:rsid w:val="00A92E84"/>
    <w:rsid w:val="00A930A4"/>
    <w:rsid w:val="00A958D4"/>
    <w:rsid w:val="00A9706B"/>
    <w:rsid w:val="00A971AF"/>
    <w:rsid w:val="00AA0F6A"/>
    <w:rsid w:val="00AA24A5"/>
    <w:rsid w:val="00AA2906"/>
    <w:rsid w:val="00AA2B03"/>
    <w:rsid w:val="00AA3739"/>
    <w:rsid w:val="00AA440B"/>
    <w:rsid w:val="00AA5617"/>
    <w:rsid w:val="00AA6370"/>
    <w:rsid w:val="00AA6F0F"/>
    <w:rsid w:val="00AB071A"/>
    <w:rsid w:val="00AB127B"/>
    <w:rsid w:val="00AB1A1C"/>
    <w:rsid w:val="00AB25A9"/>
    <w:rsid w:val="00AB382B"/>
    <w:rsid w:val="00AB3992"/>
    <w:rsid w:val="00AB3BCD"/>
    <w:rsid w:val="00AB5F9C"/>
    <w:rsid w:val="00AB5FF5"/>
    <w:rsid w:val="00AB6601"/>
    <w:rsid w:val="00AB73C0"/>
    <w:rsid w:val="00AB787C"/>
    <w:rsid w:val="00AB7AA5"/>
    <w:rsid w:val="00AC0345"/>
    <w:rsid w:val="00AC08C0"/>
    <w:rsid w:val="00AC1918"/>
    <w:rsid w:val="00AC1A31"/>
    <w:rsid w:val="00AC3048"/>
    <w:rsid w:val="00AC426A"/>
    <w:rsid w:val="00AC453A"/>
    <w:rsid w:val="00AC4547"/>
    <w:rsid w:val="00AC6631"/>
    <w:rsid w:val="00AC6E66"/>
    <w:rsid w:val="00AC74CF"/>
    <w:rsid w:val="00AC7864"/>
    <w:rsid w:val="00AD0E64"/>
    <w:rsid w:val="00AD2D6C"/>
    <w:rsid w:val="00AD3B5F"/>
    <w:rsid w:val="00AD41E2"/>
    <w:rsid w:val="00AD4300"/>
    <w:rsid w:val="00AD4F34"/>
    <w:rsid w:val="00AE0BA1"/>
    <w:rsid w:val="00AE26FC"/>
    <w:rsid w:val="00AE2C85"/>
    <w:rsid w:val="00AE371C"/>
    <w:rsid w:val="00AE4389"/>
    <w:rsid w:val="00AE5BED"/>
    <w:rsid w:val="00AE6148"/>
    <w:rsid w:val="00AE7657"/>
    <w:rsid w:val="00AE76DD"/>
    <w:rsid w:val="00AE7C43"/>
    <w:rsid w:val="00AF0A58"/>
    <w:rsid w:val="00AF138C"/>
    <w:rsid w:val="00AF19E6"/>
    <w:rsid w:val="00AF26AD"/>
    <w:rsid w:val="00AF603C"/>
    <w:rsid w:val="00AF616A"/>
    <w:rsid w:val="00AF69A4"/>
    <w:rsid w:val="00AF7108"/>
    <w:rsid w:val="00AF7739"/>
    <w:rsid w:val="00AF7B63"/>
    <w:rsid w:val="00B01C39"/>
    <w:rsid w:val="00B01D0E"/>
    <w:rsid w:val="00B026F2"/>
    <w:rsid w:val="00B0355F"/>
    <w:rsid w:val="00B03E4F"/>
    <w:rsid w:val="00B04703"/>
    <w:rsid w:val="00B04ED1"/>
    <w:rsid w:val="00B050C5"/>
    <w:rsid w:val="00B051DD"/>
    <w:rsid w:val="00B059E2"/>
    <w:rsid w:val="00B06CA9"/>
    <w:rsid w:val="00B06E4B"/>
    <w:rsid w:val="00B1120A"/>
    <w:rsid w:val="00B12105"/>
    <w:rsid w:val="00B13C36"/>
    <w:rsid w:val="00B143C1"/>
    <w:rsid w:val="00B1446F"/>
    <w:rsid w:val="00B1502F"/>
    <w:rsid w:val="00B150FD"/>
    <w:rsid w:val="00B16D09"/>
    <w:rsid w:val="00B17E64"/>
    <w:rsid w:val="00B24D6C"/>
    <w:rsid w:val="00B277E8"/>
    <w:rsid w:val="00B27F2E"/>
    <w:rsid w:val="00B33031"/>
    <w:rsid w:val="00B34A41"/>
    <w:rsid w:val="00B35463"/>
    <w:rsid w:val="00B361F4"/>
    <w:rsid w:val="00B373AD"/>
    <w:rsid w:val="00B37E02"/>
    <w:rsid w:val="00B406D7"/>
    <w:rsid w:val="00B41270"/>
    <w:rsid w:val="00B418AD"/>
    <w:rsid w:val="00B41CF1"/>
    <w:rsid w:val="00B43101"/>
    <w:rsid w:val="00B43716"/>
    <w:rsid w:val="00B43DF2"/>
    <w:rsid w:val="00B44625"/>
    <w:rsid w:val="00B446B5"/>
    <w:rsid w:val="00B447FF"/>
    <w:rsid w:val="00B4571F"/>
    <w:rsid w:val="00B45908"/>
    <w:rsid w:val="00B46704"/>
    <w:rsid w:val="00B46CA9"/>
    <w:rsid w:val="00B46F43"/>
    <w:rsid w:val="00B505F8"/>
    <w:rsid w:val="00B50CAD"/>
    <w:rsid w:val="00B530FF"/>
    <w:rsid w:val="00B54432"/>
    <w:rsid w:val="00B544E7"/>
    <w:rsid w:val="00B550E2"/>
    <w:rsid w:val="00B555C8"/>
    <w:rsid w:val="00B5693D"/>
    <w:rsid w:val="00B57009"/>
    <w:rsid w:val="00B62418"/>
    <w:rsid w:val="00B6307A"/>
    <w:rsid w:val="00B6490B"/>
    <w:rsid w:val="00B65166"/>
    <w:rsid w:val="00B65180"/>
    <w:rsid w:val="00B667D2"/>
    <w:rsid w:val="00B66DFF"/>
    <w:rsid w:val="00B66F8A"/>
    <w:rsid w:val="00B700BA"/>
    <w:rsid w:val="00B712B2"/>
    <w:rsid w:val="00B7145A"/>
    <w:rsid w:val="00B7197C"/>
    <w:rsid w:val="00B73576"/>
    <w:rsid w:val="00B74540"/>
    <w:rsid w:val="00B76900"/>
    <w:rsid w:val="00B76F3E"/>
    <w:rsid w:val="00B80840"/>
    <w:rsid w:val="00B8091C"/>
    <w:rsid w:val="00B8188D"/>
    <w:rsid w:val="00B821A1"/>
    <w:rsid w:val="00B825B6"/>
    <w:rsid w:val="00B82D27"/>
    <w:rsid w:val="00B83BB3"/>
    <w:rsid w:val="00B851C7"/>
    <w:rsid w:val="00B862B1"/>
    <w:rsid w:val="00B86B76"/>
    <w:rsid w:val="00B86FCF"/>
    <w:rsid w:val="00B87492"/>
    <w:rsid w:val="00B87776"/>
    <w:rsid w:val="00B87927"/>
    <w:rsid w:val="00B9000A"/>
    <w:rsid w:val="00B90194"/>
    <w:rsid w:val="00B90912"/>
    <w:rsid w:val="00B9152E"/>
    <w:rsid w:val="00B91B60"/>
    <w:rsid w:val="00B92776"/>
    <w:rsid w:val="00B93B1E"/>
    <w:rsid w:val="00B942E6"/>
    <w:rsid w:val="00B9478F"/>
    <w:rsid w:val="00B95DBC"/>
    <w:rsid w:val="00BA34F7"/>
    <w:rsid w:val="00BA517F"/>
    <w:rsid w:val="00BA5A2F"/>
    <w:rsid w:val="00BA6BFA"/>
    <w:rsid w:val="00BA7427"/>
    <w:rsid w:val="00BA7B21"/>
    <w:rsid w:val="00BA7C66"/>
    <w:rsid w:val="00BA7F82"/>
    <w:rsid w:val="00BA7FA2"/>
    <w:rsid w:val="00BB0DC3"/>
    <w:rsid w:val="00BB1A27"/>
    <w:rsid w:val="00BB1E6E"/>
    <w:rsid w:val="00BB2054"/>
    <w:rsid w:val="00BB3234"/>
    <w:rsid w:val="00BB3654"/>
    <w:rsid w:val="00BB3BDD"/>
    <w:rsid w:val="00BB49A4"/>
    <w:rsid w:val="00BB4DA7"/>
    <w:rsid w:val="00BB57A3"/>
    <w:rsid w:val="00BB5870"/>
    <w:rsid w:val="00BB7080"/>
    <w:rsid w:val="00BB726B"/>
    <w:rsid w:val="00BB7BB8"/>
    <w:rsid w:val="00BB7DF3"/>
    <w:rsid w:val="00BB7E9D"/>
    <w:rsid w:val="00BC1BD1"/>
    <w:rsid w:val="00BC2026"/>
    <w:rsid w:val="00BC223D"/>
    <w:rsid w:val="00BC2787"/>
    <w:rsid w:val="00BC306D"/>
    <w:rsid w:val="00BC408B"/>
    <w:rsid w:val="00BC5AC0"/>
    <w:rsid w:val="00BC5FD3"/>
    <w:rsid w:val="00BC71D2"/>
    <w:rsid w:val="00BC7B60"/>
    <w:rsid w:val="00BD0167"/>
    <w:rsid w:val="00BD02BB"/>
    <w:rsid w:val="00BD0397"/>
    <w:rsid w:val="00BD17FF"/>
    <w:rsid w:val="00BD2617"/>
    <w:rsid w:val="00BD2C9F"/>
    <w:rsid w:val="00BD3B22"/>
    <w:rsid w:val="00BD46E8"/>
    <w:rsid w:val="00BE053D"/>
    <w:rsid w:val="00BE059D"/>
    <w:rsid w:val="00BE08B4"/>
    <w:rsid w:val="00BE0996"/>
    <w:rsid w:val="00BE1478"/>
    <w:rsid w:val="00BE1AC3"/>
    <w:rsid w:val="00BE30FA"/>
    <w:rsid w:val="00BE3599"/>
    <w:rsid w:val="00BE44B8"/>
    <w:rsid w:val="00BE4C12"/>
    <w:rsid w:val="00BE4C27"/>
    <w:rsid w:val="00BE4C78"/>
    <w:rsid w:val="00BE4D82"/>
    <w:rsid w:val="00BE5492"/>
    <w:rsid w:val="00BE73B6"/>
    <w:rsid w:val="00BE7406"/>
    <w:rsid w:val="00BF03B4"/>
    <w:rsid w:val="00BF1287"/>
    <w:rsid w:val="00BF154F"/>
    <w:rsid w:val="00BF16C8"/>
    <w:rsid w:val="00BF1EA5"/>
    <w:rsid w:val="00BF32C0"/>
    <w:rsid w:val="00BF4560"/>
    <w:rsid w:val="00BF493E"/>
    <w:rsid w:val="00BF5071"/>
    <w:rsid w:val="00BF608F"/>
    <w:rsid w:val="00C000D6"/>
    <w:rsid w:val="00C03D66"/>
    <w:rsid w:val="00C04962"/>
    <w:rsid w:val="00C049C5"/>
    <w:rsid w:val="00C05C99"/>
    <w:rsid w:val="00C05CD0"/>
    <w:rsid w:val="00C0668C"/>
    <w:rsid w:val="00C06FDC"/>
    <w:rsid w:val="00C070CA"/>
    <w:rsid w:val="00C10196"/>
    <w:rsid w:val="00C103EB"/>
    <w:rsid w:val="00C10E5F"/>
    <w:rsid w:val="00C10FF9"/>
    <w:rsid w:val="00C1169D"/>
    <w:rsid w:val="00C11EC8"/>
    <w:rsid w:val="00C14D33"/>
    <w:rsid w:val="00C159E7"/>
    <w:rsid w:val="00C15D9E"/>
    <w:rsid w:val="00C160F8"/>
    <w:rsid w:val="00C209AB"/>
    <w:rsid w:val="00C21065"/>
    <w:rsid w:val="00C21681"/>
    <w:rsid w:val="00C22E1F"/>
    <w:rsid w:val="00C23599"/>
    <w:rsid w:val="00C24018"/>
    <w:rsid w:val="00C240AC"/>
    <w:rsid w:val="00C256C2"/>
    <w:rsid w:val="00C26B5E"/>
    <w:rsid w:val="00C30661"/>
    <w:rsid w:val="00C3078D"/>
    <w:rsid w:val="00C30B47"/>
    <w:rsid w:val="00C320D3"/>
    <w:rsid w:val="00C34AD6"/>
    <w:rsid w:val="00C36F74"/>
    <w:rsid w:val="00C36FA9"/>
    <w:rsid w:val="00C3792A"/>
    <w:rsid w:val="00C37B90"/>
    <w:rsid w:val="00C37D1E"/>
    <w:rsid w:val="00C40039"/>
    <w:rsid w:val="00C405FF"/>
    <w:rsid w:val="00C43D54"/>
    <w:rsid w:val="00C44E63"/>
    <w:rsid w:val="00C44F6C"/>
    <w:rsid w:val="00C46020"/>
    <w:rsid w:val="00C4685F"/>
    <w:rsid w:val="00C47155"/>
    <w:rsid w:val="00C474F6"/>
    <w:rsid w:val="00C500CB"/>
    <w:rsid w:val="00C50410"/>
    <w:rsid w:val="00C505F1"/>
    <w:rsid w:val="00C508D8"/>
    <w:rsid w:val="00C512CB"/>
    <w:rsid w:val="00C51507"/>
    <w:rsid w:val="00C522C3"/>
    <w:rsid w:val="00C54884"/>
    <w:rsid w:val="00C55294"/>
    <w:rsid w:val="00C57217"/>
    <w:rsid w:val="00C577F2"/>
    <w:rsid w:val="00C57A7E"/>
    <w:rsid w:val="00C60B4C"/>
    <w:rsid w:val="00C60BED"/>
    <w:rsid w:val="00C6118A"/>
    <w:rsid w:val="00C612A0"/>
    <w:rsid w:val="00C61E71"/>
    <w:rsid w:val="00C6220D"/>
    <w:rsid w:val="00C63220"/>
    <w:rsid w:val="00C63B0B"/>
    <w:rsid w:val="00C647F9"/>
    <w:rsid w:val="00C648AD"/>
    <w:rsid w:val="00C64BD0"/>
    <w:rsid w:val="00C7031D"/>
    <w:rsid w:val="00C70B3E"/>
    <w:rsid w:val="00C71F4D"/>
    <w:rsid w:val="00C72153"/>
    <w:rsid w:val="00C72803"/>
    <w:rsid w:val="00C729A9"/>
    <w:rsid w:val="00C72EF5"/>
    <w:rsid w:val="00C74707"/>
    <w:rsid w:val="00C779F5"/>
    <w:rsid w:val="00C80B47"/>
    <w:rsid w:val="00C81430"/>
    <w:rsid w:val="00C8251C"/>
    <w:rsid w:val="00C83299"/>
    <w:rsid w:val="00C8432A"/>
    <w:rsid w:val="00C84F3E"/>
    <w:rsid w:val="00C85098"/>
    <w:rsid w:val="00C85D53"/>
    <w:rsid w:val="00C86166"/>
    <w:rsid w:val="00C8741C"/>
    <w:rsid w:val="00C90ABB"/>
    <w:rsid w:val="00C91433"/>
    <w:rsid w:val="00C93C8A"/>
    <w:rsid w:val="00C94BA6"/>
    <w:rsid w:val="00C952E4"/>
    <w:rsid w:val="00C95B85"/>
    <w:rsid w:val="00C978AD"/>
    <w:rsid w:val="00C97BE6"/>
    <w:rsid w:val="00C97CEC"/>
    <w:rsid w:val="00C97E56"/>
    <w:rsid w:val="00CA05F8"/>
    <w:rsid w:val="00CA0843"/>
    <w:rsid w:val="00CA19E0"/>
    <w:rsid w:val="00CA2639"/>
    <w:rsid w:val="00CA3056"/>
    <w:rsid w:val="00CA3138"/>
    <w:rsid w:val="00CA324C"/>
    <w:rsid w:val="00CA3821"/>
    <w:rsid w:val="00CA518B"/>
    <w:rsid w:val="00CA5921"/>
    <w:rsid w:val="00CA642D"/>
    <w:rsid w:val="00CA6590"/>
    <w:rsid w:val="00CA6F78"/>
    <w:rsid w:val="00CA7CBA"/>
    <w:rsid w:val="00CB0047"/>
    <w:rsid w:val="00CB0470"/>
    <w:rsid w:val="00CB0972"/>
    <w:rsid w:val="00CB1023"/>
    <w:rsid w:val="00CB24E1"/>
    <w:rsid w:val="00CB2ECB"/>
    <w:rsid w:val="00CB3A23"/>
    <w:rsid w:val="00CB3F9E"/>
    <w:rsid w:val="00CB5701"/>
    <w:rsid w:val="00CB6017"/>
    <w:rsid w:val="00CC01C6"/>
    <w:rsid w:val="00CC07C5"/>
    <w:rsid w:val="00CC301D"/>
    <w:rsid w:val="00CC5484"/>
    <w:rsid w:val="00CC5B15"/>
    <w:rsid w:val="00CC5EFA"/>
    <w:rsid w:val="00CD04D1"/>
    <w:rsid w:val="00CD051E"/>
    <w:rsid w:val="00CD12AC"/>
    <w:rsid w:val="00CD24EE"/>
    <w:rsid w:val="00CD2F52"/>
    <w:rsid w:val="00CD39CF"/>
    <w:rsid w:val="00CD5483"/>
    <w:rsid w:val="00CD5BD6"/>
    <w:rsid w:val="00CD6074"/>
    <w:rsid w:val="00CE0146"/>
    <w:rsid w:val="00CE1185"/>
    <w:rsid w:val="00CE12BA"/>
    <w:rsid w:val="00CE1699"/>
    <w:rsid w:val="00CE4797"/>
    <w:rsid w:val="00CE5220"/>
    <w:rsid w:val="00CE6E61"/>
    <w:rsid w:val="00CE743C"/>
    <w:rsid w:val="00CF0572"/>
    <w:rsid w:val="00CF1026"/>
    <w:rsid w:val="00CF46ED"/>
    <w:rsid w:val="00CF569B"/>
    <w:rsid w:val="00CF57B4"/>
    <w:rsid w:val="00CF5CDA"/>
    <w:rsid w:val="00CF5EE1"/>
    <w:rsid w:val="00CF6135"/>
    <w:rsid w:val="00CF6E40"/>
    <w:rsid w:val="00D00F81"/>
    <w:rsid w:val="00D00FFC"/>
    <w:rsid w:val="00D01689"/>
    <w:rsid w:val="00D01696"/>
    <w:rsid w:val="00D02FD5"/>
    <w:rsid w:val="00D03821"/>
    <w:rsid w:val="00D045BC"/>
    <w:rsid w:val="00D04757"/>
    <w:rsid w:val="00D05655"/>
    <w:rsid w:val="00D05D0B"/>
    <w:rsid w:val="00D05E51"/>
    <w:rsid w:val="00D0608F"/>
    <w:rsid w:val="00D06FAB"/>
    <w:rsid w:val="00D07A26"/>
    <w:rsid w:val="00D07F39"/>
    <w:rsid w:val="00D10620"/>
    <w:rsid w:val="00D10806"/>
    <w:rsid w:val="00D115BD"/>
    <w:rsid w:val="00D13E38"/>
    <w:rsid w:val="00D140D8"/>
    <w:rsid w:val="00D157C0"/>
    <w:rsid w:val="00D165C5"/>
    <w:rsid w:val="00D16E32"/>
    <w:rsid w:val="00D17194"/>
    <w:rsid w:val="00D20AEF"/>
    <w:rsid w:val="00D22ED4"/>
    <w:rsid w:val="00D23B34"/>
    <w:rsid w:val="00D243DC"/>
    <w:rsid w:val="00D25118"/>
    <w:rsid w:val="00D25325"/>
    <w:rsid w:val="00D25752"/>
    <w:rsid w:val="00D304FB"/>
    <w:rsid w:val="00D316EF"/>
    <w:rsid w:val="00D32288"/>
    <w:rsid w:val="00D32801"/>
    <w:rsid w:val="00D329BB"/>
    <w:rsid w:val="00D33665"/>
    <w:rsid w:val="00D3371D"/>
    <w:rsid w:val="00D35263"/>
    <w:rsid w:val="00D3618C"/>
    <w:rsid w:val="00D3692F"/>
    <w:rsid w:val="00D400AA"/>
    <w:rsid w:val="00D416E8"/>
    <w:rsid w:val="00D42E46"/>
    <w:rsid w:val="00D42ED4"/>
    <w:rsid w:val="00D42F86"/>
    <w:rsid w:val="00D44767"/>
    <w:rsid w:val="00D45726"/>
    <w:rsid w:val="00D466CA"/>
    <w:rsid w:val="00D46BA0"/>
    <w:rsid w:val="00D47546"/>
    <w:rsid w:val="00D50F4D"/>
    <w:rsid w:val="00D51A92"/>
    <w:rsid w:val="00D53D29"/>
    <w:rsid w:val="00D54304"/>
    <w:rsid w:val="00D568B0"/>
    <w:rsid w:val="00D60A25"/>
    <w:rsid w:val="00D62B4E"/>
    <w:rsid w:val="00D63768"/>
    <w:rsid w:val="00D63CD9"/>
    <w:rsid w:val="00D646B9"/>
    <w:rsid w:val="00D64E73"/>
    <w:rsid w:val="00D66C17"/>
    <w:rsid w:val="00D679C8"/>
    <w:rsid w:val="00D67D14"/>
    <w:rsid w:val="00D67D90"/>
    <w:rsid w:val="00D70653"/>
    <w:rsid w:val="00D70898"/>
    <w:rsid w:val="00D70C40"/>
    <w:rsid w:val="00D70E8B"/>
    <w:rsid w:val="00D712EF"/>
    <w:rsid w:val="00D728D0"/>
    <w:rsid w:val="00D72AC2"/>
    <w:rsid w:val="00D74AEA"/>
    <w:rsid w:val="00D751F5"/>
    <w:rsid w:val="00D753B0"/>
    <w:rsid w:val="00D75CDB"/>
    <w:rsid w:val="00D761D4"/>
    <w:rsid w:val="00D77F53"/>
    <w:rsid w:val="00D81DC0"/>
    <w:rsid w:val="00D82C1D"/>
    <w:rsid w:val="00D83ACA"/>
    <w:rsid w:val="00D84DCD"/>
    <w:rsid w:val="00D84E15"/>
    <w:rsid w:val="00D84EFE"/>
    <w:rsid w:val="00D851C0"/>
    <w:rsid w:val="00D85409"/>
    <w:rsid w:val="00D86B0B"/>
    <w:rsid w:val="00D90E5C"/>
    <w:rsid w:val="00D9362A"/>
    <w:rsid w:val="00D93AEA"/>
    <w:rsid w:val="00D9418E"/>
    <w:rsid w:val="00D94B21"/>
    <w:rsid w:val="00D9517D"/>
    <w:rsid w:val="00D95AE1"/>
    <w:rsid w:val="00D960B4"/>
    <w:rsid w:val="00D96487"/>
    <w:rsid w:val="00D97677"/>
    <w:rsid w:val="00D97C8A"/>
    <w:rsid w:val="00D97D10"/>
    <w:rsid w:val="00DA1C94"/>
    <w:rsid w:val="00DA305C"/>
    <w:rsid w:val="00DA30B8"/>
    <w:rsid w:val="00DA3A93"/>
    <w:rsid w:val="00DA3F2E"/>
    <w:rsid w:val="00DA5130"/>
    <w:rsid w:val="00DA52F0"/>
    <w:rsid w:val="00DA700A"/>
    <w:rsid w:val="00DA79EA"/>
    <w:rsid w:val="00DB01BE"/>
    <w:rsid w:val="00DB03FF"/>
    <w:rsid w:val="00DB34BA"/>
    <w:rsid w:val="00DB413D"/>
    <w:rsid w:val="00DB5B65"/>
    <w:rsid w:val="00DB5C83"/>
    <w:rsid w:val="00DB6B09"/>
    <w:rsid w:val="00DC0F2A"/>
    <w:rsid w:val="00DC3055"/>
    <w:rsid w:val="00DC359A"/>
    <w:rsid w:val="00DC395A"/>
    <w:rsid w:val="00DC46EC"/>
    <w:rsid w:val="00DC495B"/>
    <w:rsid w:val="00DC7425"/>
    <w:rsid w:val="00DC7C40"/>
    <w:rsid w:val="00DD0499"/>
    <w:rsid w:val="00DD0CDC"/>
    <w:rsid w:val="00DD1B7A"/>
    <w:rsid w:val="00DD23C0"/>
    <w:rsid w:val="00DD3015"/>
    <w:rsid w:val="00DD4AEB"/>
    <w:rsid w:val="00DD4D05"/>
    <w:rsid w:val="00DD5B50"/>
    <w:rsid w:val="00DD6289"/>
    <w:rsid w:val="00DD63FB"/>
    <w:rsid w:val="00DD73D2"/>
    <w:rsid w:val="00DD7927"/>
    <w:rsid w:val="00DD7DE9"/>
    <w:rsid w:val="00DE12F2"/>
    <w:rsid w:val="00DE28E2"/>
    <w:rsid w:val="00DE3616"/>
    <w:rsid w:val="00DE462A"/>
    <w:rsid w:val="00DE4854"/>
    <w:rsid w:val="00DF01F3"/>
    <w:rsid w:val="00DF09F1"/>
    <w:rsid w:val="00DF18AF"/>
    <w:rsid w:val="00DF2708"/>
    <w:rsid w:val="00DF2EE5"/>
    <w:rsid w:val="00DF4DAF"/>
    <w:rsid w:val="00DF55B1"/>
    <w:rsid w:val="00DF6412"/>
    <w:rsid w:val="00DF72AA"/>
    <w:rsid w:val="00E000F9"/>
    <w:rsid w:val="00E00CF3"/>
    <w:rsid w:val="00E0142F"/>
    <w:rsid w:val="00E016D9"/>
    <w:rsid w:val="00E016F5"/>
    <w:rsid w:val="00E026B1"/>
    <w:rsid w:val="00E03B39"/>
    <w:rsid w:val="00E0421B"/>
    <w:rsid w:val="00E04B99"/>
    <w:rsid w:val="00E06944"/>
    <w:rsid w:val="00E06D95"/>
    <w:rsid w:val="00E07A31"/>
    <w:rsid w:val="00E105EB"/>
    <w:rsid w:val="00E106CF"/>
    <w:rsid w:val="00E128CC"/>
    <w:rsid w:val="00E12AA5"/>
    <w:rsid w:val="00E13690"/>
    <w:rsid w:val="00E14655"/>
    <w:rsid w:val="00E15D26"/>
    <w:rsid w:val="00E1633C"/>
    <w:rsid w:val="00E167CB"/>
    <w:rsid w:val="00E16E68"/>
    <w:rsid w:val="00E2246A"/>
    <w:rsid w:val="00E24F22"/>
    <w:rsid w:val="00E2530B"/>
    <w:rsid w:val="00E254AA"/>
    <w:rsid w:val="00E25D22"/>
    <w:rsid w:val="00E25EA6"/>
    <w:rsid w:val="00E2752F"/>
    <w:rsid w:val="00E300D7"/>
    <w:rsid w:val="00E3063D"/>
    <w:rsid w:val="00E314A3"/>
    <w:rsid w:val="00E31E8D"/>
    <w:rsid w:val="00E31F1B"/>
    <w:rsid w:val="00E325A0"/>
    <w:rsid w:val="00E34B53"/>
    <w:rsid w:val="00E35015"/>
    <w:rsid w:val="00E35931"/>
    <w:rsid w:val="00E35B3C"/>
    <w:rsid w:val="00E35E1F"/>
    <w:rsid w:val="00E36633"/>
    <w:rsid w:val="00E36B88"/>
    <w:rsid w:val="00E36EA9"/>
    <w:rsid w:val="00E37470"/>
    <w:rsid w:val="00E40946"/>
    <w:rsid w:val="00E40ED5"/>
    <w:rsid w:val="00E42CEB"/>
    <w:rsid w:val="00E43055"/>
    <w:rsid w:val="00E43A07"/>
    <w:rsid w:val="00E441EB"/>
    <w:rsid w:val="00E45054"/>
    <w:rsid w:val="00E45454"/>
    <w:rsid w:val="00E45924"/>
    <w:rsid w:val="00E46BF5"/>
    <w:rsid w:val="00E47090"/>
    <w:rsid w:val="00E50B2C"/>
    <w:rsid w:val="00E51291"/>
    <w:rsid w:val="00E5477A"/>
    <w:rsid w:val="00E54989"/>
    <w:rsid w:val="00E54D38"/>
    <w:rsid w:val="00E56898"/>
    <w:rsid w:val="00E575B3"/>
    <w:rsid w:val="00E57D04"/>
    <w:rsid w:val="00E60EFC"/>
    <w:rsid w:val="00E620D2"/>
    <w:rsid w:val="00E62253"/>
    <w:rsid w:val="00E635BD"/>
    <w:rsid w:val="00E641FA"/>
    <w:rsid w:val="00E6477C"/>
    <w:rsid w:val="00E64CBF"/>
    <w:rsid w:val="00E64F40"/>
    <w:rsid w:val="00E65348"/>
    <w:rsid w:val="00E65D64"/>
    <w:rsid w:val="00E70421"/>
    <w:rsid w:val="00E70B5D"/>
    <w:rsid w:val="00E712B8"/>
    <w:rsid w:val="00E718C0"/>
    <w:rsid w:val="00E74762"/>
    <w:rsid w:val="00E75B23"/>
    <w:rsid w:val="00E767FD"/>
    <w:rsid w:val="00E77191"/>
    <w:rsid w:val="00E77503"/>
    <w:rsid w:val="00E7791E"/>
    <w:rsid w:val="00E77A3A"/>
    <w:rsid w:val="00E815A2"/>
    <w:rsid w:val="00E81772"/>
    <w:rsid w:val="00E821FD"/>
    <w:rsid w:val="00E824E6"/>
    <w:rsid w:val="00E829DB"/>
    <w:rsid w:val="00E8347D"/>
    <w:rsid w:val="00E83773"/>
    <w:rsid w:val="00E8386D"/>
    <w:rsid w:val="00E83A37"/>
    <w:rsid w:val="00E846DE"/>
    <w:rsid w:val="00E865AA"/>
    <w:rsid w:val="00E866A6"/>
    <w:rsid w:val="00E90ED6"/>
    <w:rsid w:val="00E91910"/>
    <w:rsid w:val="00E934C6"/>
    <w:rsid w:val="00E93F66"/>
    <w:rsid w:val="00E94207"/>
    <w:rsid w:val="00E94739"/>
    <w:rsid w:val="00E94AC1"/>
    <w:rsid w:val="00E965EC"/>
    <w:rsid w:val="00E97C2B"/>
    <w:rsid w:val="00E97F92"/>
    <w:rsid w:val="00EA1201"/>
    <w:rsid w:val="00EA17F2"/>
    <w:rsid w:val="00EA21B8"/>
    <w:rsid w:val="00EA22B8"/>
    <w:rsid w:val="00EA2B7C"/>
    <w:rsid w:val="00EA361C"/>
    <w:rsid w:val="00EA3C3A"/>
    <w:rsid w:val="00EA3DF9"/>
    <w:rsid w:val="00EA3FAA"/>
    <w:rsid w:val="00EA46BE"/>
    <w:rsid w:val="00EA47A6"/>
    <w:rsid w:val="00EA4EE2"/>
    <w:rsid w:val="00EB036E"/>
    <w:rsid w:val="00EB10BE"/>
    <w:rsid w:val="00EB2BEB"/>
    <w:rsid w:val="00EB2E62"/>
    <w:rsid w:val="00EB546A"/>
    <w:rsid w:val="00EB64A4"/>
    <w:rsid w:val="00EB66D6"/>
    <w:rsid w:val="00EB74CE"/>
    <w:rsid w:val="00EB7C13"/>
    <w:rsid w:val="00EB7D37"/>
    <w:rsid w:val="00EC051D"/>
    <w:rsid w:val="00EC0D10"/>
    <w:rsid w:val="00EC207F"/>
    <w:rsid w:val="00EC326F"/>
    <w:rsid w:val="00EC3F77"/>
    <w:rsid w:val="00EC4220"/>
    <w:rsid w:val="00EC4841"/>
    <w:rsid w:val="00EC4BE9"/>
    <w:rsid w:val="00EC4F19"/>
    <w:rsid w:val="00ED0F61"/>
    <w:rsid w:val="00ED2147"/>
    <w:rsid w:val="00ED2450"/>
    <w:rsid w:val="00ED29B2"/>
    <w:rsid w:val="00ED3F41"/>
    <w:rsid w:val="00ED4496"/>
    <w:rsid w:val="00ED468C"/>
    <w:rsid w:val="00ED55A3"/>
    <w:rsid w:val="00ED639B"/>
    <w:rsid w:val="00ED7338"/>
    <w:rsid w:val="00EE0520"/>
    <w:rsid w:val="00EE0985"/>
    <w:rsid w:val="00EE0EEA"/>
    <w:rsid w:val="00EE118B"/>
    <w:rsid w:val="00EE135B"/>
    <w:rsid w:val="00EE2470"/>
    <w:rsid w:val="00EE54D2"/>
    <w:rsid w:val="00EE74E9"/>
    <w:rsid w:val="00EE7771"/>
    <w:rsid w:val="00EF05C9"/>
    <w:rsid w:val="00EF08AC"/>
    <w:rsid w:val="00EF0D5E"/>
    <w:rsid w:val="00EF2213"/>
    <w:rsid w:val="00EF2629"/>
    <w:rsid w:val="00EF2CCA"/>
    <w:rsid w:val="00EF2E85"/>
    <w:rsid w:val="00EF3200"/>
    <w:rsid w:val="00EF354E"/>
    <w:rsid w:val="00EF3927"/>
    <w:rsid w:val="00EF5AC9"/>
    <w:rsid w:val="00EF78F5"/>
    <w:rsid w:val="00EF7982"/>
    <w:rsid w:val="00EF7AFA"/>
    <w:rsid w:val="00F01496"/>
    <w:rsid w:val="00F03A96"/>
    <w:rsid w:val="00F042B7"/>
    <w:rsid w:val="00F047B5"/>
    <w:rsid w:val="00F049B8"/>
    <w:rsid w:val="00F10263"/>
    <w:rsid w:val="00F10AFC"/>
    <w:rsid w:val="00F10BC3"/>
    <w:rsid w:val="00F11478"/>
    <w:rsid w:val="00F11C84"/>
    <w:rsid w:val="00F12AAF"/>
    <w:rsid w:val="00F12CE7"/>
    <w:rsid w:val="00F135C7"/>
    <w:rsid w:val="00F13945"/>
    <w:rsid w:val="00F13C8C"/>
    <w:rsid w:val="00F14A8B"/>
    <w:rsid w:val="00F15129"/>
    <w:rsid w:val="00F16A8A"/>
    <w:rsid w:val="00F2005F"/>
    <w:rsid w:val="00F22103"/>
    <w:rsid w:val="00F22DF0"/>
    <w:rsid w:val="00F23F8B"/>
    <w:rsid w:val="00F25007"/>
    <w:rsid w:val="00F263E8"/>
    <w:rsid w:val="00F2682F"/>
    <w:rsid w:val="00F27453"/>
    <w:rsid w:val="00F3038D"/>
    <w:rsid w:val="00F30CBE"/>
    <w:rsid w:val="00F319D5"/>
    <w:rsid w:val="00F31AB3"/>
    <w:rsid w:val="00F33254"/>
    <w:rsid w:val="00F3338A"/>
    <w:rsid w:val="00F33403"/>
    <w:rsid w:val="00F3369F"/>
    <w:rsid w:val="00F33979"/>
    <w:rsid w:val="00F34726"/>
    <w:rsid w:val="00F3517A"/>
    <w:rsid w:val="00F35BE4"/>
    <w:rsid w:val="00F3689D"/>
    <w:rsid w:val="00F36C1F"/>
    <w:rsid w:val="00F3737B"/>
    <w:rsid w:val="00F41E57"/>
    <w:rsid w:val="00F428F7"/>
    <w:rsid w:val="00F440A0"/>
    <w:rsid w:val="00F4527B"/>
    <w:rsid w:val="00F46AFE"/>
    <w:rsid w:val="00F47360"/>
    <w:rsid w:val="00F475A1"/>
    <w:rsid w:val="00F519E0"/>
    <w:rsid w:val="00F519FC"/>
    <w:rsid w:val="00F51DAE"/>
    <w:rsid w:val="00F539D0"/>
    <w:rsid w:val="00F552B1"/>
    <w:rsid w:val="00F564E0"/>
    <w:rsid w:val="00F57659"/>
    <w:rsid w:val="00F608A8"/>
    <w:rsid w:val="00F60CC6"/>
    <w:rsid w:val="00F62201"/>
    <w:rsid w:val="00F62A8C"/>
    <w:rsid w:val="00F630DC"/>
    <w:rsid w:val="00F643F9"/>
    <w:rsid w:val="00F64728"/>
    <w:rsid w:val="00F64C04"/>
    <w:rsid w:val="00F6543A"/>
    <w:rsid w:val="00F66C39"/>
    <w:rsid w:val="00F678E8"/>
    <w:rsid w:val="00F70852"/>
    <w:rsid w:val="00F716D1"/>
    <w:rsid w:val="00F71E27"/>
    <w:rsid w:val="00F73C2A"/>
    <w:rsid w:val="00F76648"/>
    <w:rsid w:val="00F769F5"/>
    <w:rsid w:val="00F76E4F"/>
    <w:rsid w:val="00F77B19"/>
    <w:rsid w:val="00F77FF7"/>
    <w:rsid w:val="00F800C9"/>
    <w:rsid w:val="00F8086B"/>
    <w:rsid w:val="00F80F64"/>
    <w:rsid w:val="00F81E8C"/>
    <w:rsid w:val="00F824B2"/>
    <w:rsid w:val="00F82B95"/>
    <w:rsid w:val="00F83A75"/>
    <w:rsid w:val="00F8402B"/>
    <w:rsid w:val="00F85D1E"/>
    <w:rsid w:val="00F85FBF"/>
    <w:rsid w:val="00F87331"/>
    <w:rsid w:val="00F87924"/>
    <w:rsid w:val="00F9039C"/>
    <w:rsid w:val="00F91618"/>
    <w:rsid w:val="00F919A2"/>
    <w:rsid w:val="00F91C3C"/>
    <w:rsid w:val="00F91C94"/>
    <w:rsid w:val="00F91D14"/>
    <w:rsid w:val="00F936DA"/>
    <w:rsid w:val="00F954B7"/>
    <w:rsid w:val="00F9551F"/>
    <w:rsid w:val="00FA0A44"/>
    <w:rsid w:val="00FA119E"/>
    <w:rsid w:val="00FA1F41"/>
    <w:rsid w:val="00FA225B"/>
    <w:rsid w:val="00FA284E"/>
    <w:rsid w:val="00FA30B1"/>
    <w:rsid w:val="00FA36CC"/>
    <w:rsid w:val="00FA38FD"/>
    <w:rsid w:val="00FA43BA"/>
    <w:rsid w:val="00FA64E6"/>
    <w:rsid w:val="00FA7148"/>
    <w:rsid w:val="00FB043E"/>
    <w:rsid w:val="00FB1969"/>
    <w:rsid w:val="00FB285C"/>
    <w:rsid w:val="00FB297D"/>
    <w:rsid w:val="00FB2F7B"/>
    <w:rsid w:val="00FB3BFF"/>
    <w:rsid w:val="00FB3F0A"/>
    <w:rsid w:val="00FB4E24"/>
    <w:rsid w:val="00FB4EF6"/>
    <w:rsid w:val="00FB7092"/>
    <w:rsid w:val="00FB73AA"/>
    <w:rsid w:val="00FC0213"/>
    <w:rsid w:val="00FC15A3"/>
    <w:rsid w:val="00FC216F"/>
    <w:rsid w:val="00FC2F9B"/>
    <w:rsid w:val="00FC3992"/>
    <w:rsid w:val="00FC3F03"/>
    <w:rsid w:val="00FC4323"/>
    <w:rsid w:val="00FC4485"/>
    <w:rsid w:val="00FC47AF"/>
    <w:rsid w:val="00FC5079"/>
    <w:rsid w:val="00FC752A"/>
    <w:rsid w:val="00FC7BA6"/>
    <w:rsid w:val="00FD04A3"/>
    <w:rsid w:val="00FD04D3"/>
    <w:rsid w:val="00FD05B9"/>
    <w:rsid w:val="00FD308D"/>
    <w:rsid w:val="00FD324E"/>
    <w:rsid w:val="00FD3843"/>
    <w:rsid w:val="00FD3AD0"/>
    <w:rsid w:val="00FD41D3"/>
    <w:rsid w:val="00FD47E7"/>
    <w:rsid w:val="00FD4D7F"/>
    <w:rsid w:val="00FD6473"/>
    <w:rsid w:val="00FD762F"/>
    <w:rsid w:val="00FD790D"/>
    <w:rsid w:val="00FD7AC1"/>
    <w:rsid w:val="00FE04FF"/>
    <w:rsid w:val="00FE0D11"/>
    <w:rsid w:val="00FE1648"/>
    <w:rsid w:val="00FE16AF"/>
    <w:rsid w:val="00FE26A2"/>
    <w:rsid w:val="00FE2ED8"/>
    <w:rsid w:val="00FE34B7"/>
    <w:rsid w:val="00FE3C01"/>
    <w:rsid w:val="00FE3E51"/>
    <w:rsid w:val="00FE419B"/>
    <w:rsid w:val="00FE44AF"/>
    <w:rsid w:val="00FE57BD"/>
    <w:rsid w:val="00FE62FB"/>
    <w:rsid w:val="00FE6C4D"/>
    <w:rsid w:val="00FE6C98"/>
    <w:rsid w:val="00FE7675"/>
    <w:rsid w:val="00FF22A3"/>
    <w:rsid w:val="00FF34C6"/>
    <w:rsid w:val="00FF3895"/>
    <w:rsid w:val="00FF3CAA"/>
    <w:rsid w:val="00FF41AE"/>
    <w:rsid w:val="00FF4552"/>
    <w:rsid w:val="00FF4EE6"/>
    <w:rsid w:val="00FF666F"/>
    <w:rsid w:val="00FF7212"/>
    <w:rsid w:val="00FF7514"/>
    <w:rsid w:val="00FF76C1"/>
    <w:rsid w:val="03FF9E64"/>
    <w:rsid w:val="066D094B"/>
    <w:rsid w:val="08DF02E9"/>
    <w:rsid w:val="09C65059"/>
    <w:rsid w:val="0C11FFFA"/>
    <w:rsid w:val="0C6B9489"/>
    <w:rsid w:val="0CAE2226"/>
    <w:rsid w:val="0F024B2C"/>
    <w:rsid w:val="122D2FC9"/>
    <w:rsid w:val="17DCBB8E"/>
    <w:rsid w:val="18D482A4"/>
    <w:rsid w:val="1DE6F79C"/>
    <w:rsid w:val="1EE6E62E"/>
    <w:rsid w:val="2029C8BE"/>
    <w:rsid w:val="234B998A"/>
    <w:rsid w:val="275EFDCB"/>
    <w:rsid w:val="28A84AAC"/>
    <w:rsid w:val="28C3360E"/>
    <w:rsid w:val="2A0DAE23"/>
    <w:rsid w:val="2D165432"/>
    <w:rsid w:val="2E28B124"/>
    <w:rsid w:val="2F22358A"/>
    <w:rsid w:val="30386204"/>
    <w:rsid w:val="30948C36"/>
    <w:rsid w:val="30EE3770"/>
    <w:rsid w:val="322F65E8"/>
    <w:rsid w:val="33833FAA"/>
    <w:rsid w:val="33F7BD8A"/>
    <w:rsid w:val="34935DF9"/>
    <w:rsid w:val="367C9767"/>
    <w:rsid w:val="394AF603"/>
    <w:rsid w:val="3A2CDD30"/>
    <w:rsid w:val="3B644C8C"/>
    <w:rsid w:val="3FE25C81"/>
    <w:rsid w:val="42CFA146"/>
    <w:rsid w:val="4933F397"/>
    <w:rsid w:val="494EE65D"/>
    <w:rsid w:val="4B43280D"/>
    <w:rsid w:val="4C4A20E6"/>
    <w:rsid w:val="4E942D6A"/>
    <w:rsid w:val="5FDE9263"/>
    <w:rsid w:val="664867B7"/>
    <w:rsid w:val="66ED0141"/>
    <w:rsid w:val="673664FD"/>
    <w:rsid w:val="67F45A1E"/>
    <w:rsid w:val="6A9D215A"/>
    <w:rsid w:val="6C69A492"/>
    <w:rsid w:val="6D026438"/>
    <w:rsid w:val="71B9CB38"/>
    <w:rsid w:val="772982A2"/>
    <w:rsid w:val="791E14C5"/>
    <w:rsid w:val="79B82789"/>
    <w:rsid w:val="7A00A54A"/>
    <w:rsid w:val="7CD0D0C4"/>
    <w:rsid w:val="7DB19B56"/>
    <w:rsid w:val="7F98B83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DED8F"/>
  <w15:chartTrackingRefBased/>
  <w15:docId w15:val="{15D72131-0973-4D18-A506-2CF8D1D8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4A4"/>
    <w:rPr>
      <w:lang w:val="es-ES"/>
    </w:rPr>
  </w:style>
  <w:style w:type="paragraph" w:styleId="Ttulo1">
    <w:name w:val="heading 1"/>
    <w:basedOn w:val="Normal"/>
    <w:next w:val="Normal"/>
    <w:link w:val="Ttulo1Car"/>
    <w:uiPriority w:val="9"/>
    <w:qFormat/>
    <w:rsid w:val="005005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5005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Ttulo1"/>
    <w:next w:val="Normal"/>
    <w:link w:val="Ttulo3Car"/>
    <w:autoRedefine/>
    <w:uiPriority w:val="9"/>
    <w:unhideWhenUsed/>
    <w:qFormat/>
    <w:rsid w:val="00500582"/>
    <w:pPr>
      <w:numPr>
        <w:ilvl w:val="1"/>
        <w:numId w:val="19"/>
      </w:numPr>
      <w:jc w:val="both"/>
      <w:outlineLvl w:val="2"/>
    </w:pPr>
    <w:rPr>
      <w:rFonts w:ascii="Century Gothic" w:hAnsi="Century Gothic"/>
      <w:bCs/>
      <w:iCs/>
      <w:sz w:val="22"/>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eastAsia="es-CO"/>
    </w:rPr>
  </w:style>
  <w:style w:type="character" w:customStyle="1" w:styleId="EncabezadoCar">
    <w:name w:val="Encabezado Car"/>
    <w:basedOn w:val="Fuentedeprrafopredeter"/>
    <w:link w:val="Encabezado"/>
    <w:uiPriority w:val="99"/>
    <w:rsid w:val="009034B7"/>
    <w:rPr>
      <w:rFonts w:ascii="Times New Roman" w:eastAsia="MS Mincho" w:hAnsi="Times New Roman" w:cs="Times New Roman"/>
      <w:sz w:val="24"/>
      <w:szCs w:val="24"/>
      <w:lang w:eastAsia="es-CO"/>
    </w:rPr>
  </w:style>
  <w:style w:type="paragraph" w:styleId="Piedepgina">
    <w:name w:val="footer"/>
    <w:basedOn w:val="Normal"/>
    <w:link w:val="Piedepgina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eastAsia="es-CO"/>
    </w:rPr>
  </w:style>
  <w:style w:type="character" w:customStyle="1" w:styleId="PiedepginaCar">
    <w:name w:val="Pie de página Car"/>
    <w:basedOn w:val="Fuentedeprrafopredeter"/>
    <w:link w:val="Piedepgina"/>
    <w:uiPriority w:val="99"/>
    <w:rsid w:val="009034B7"/>
    <w:rPr>
      <w:rFonts w:ascii="Times New Roman" w:eastAsia="MS Mincho" w:hAnsi="Times New Roman" w:cs="Times New Roman"/>
      <w:sz w:val="24"/>
      <w:szCs w:val="24"/>
      <w:lang w:eastAsia="es-CO"/>
    </w:rPr>
  </w:style>
  <w:style w:type="paragraph" w:styleId="Sinespaciado">
    <w:name w:val="No Spacing"/>
    <w:uiPriority w:val="1"/>
    <w:qFormat/>
    <w:rsid w:val="009034B7"/>
    <w:pPr>
      <w:spacing w:after="0" w:line="240" w:lineRule="auto"/>
    </w:pPr>
    <w:rPr>
      <w:rFonts w:ascii="Times New Roman" w:eastAsia="MS Mincho" w:hAnsi="Times New Roman" w:cs="Times New Roman"/>
      <w:sz w:val="24"/>
      <w:szCs w:val="24"/>
      <w:lang w:eastAsia="es-CO"/>
    </w:rPr>
  </w:style>
  <w:style w:type="paragraph" w:customStyle="1" w:styleId="Normal11pt">
    <w:name w:val="Normal + 11 pt"/>
    <w:aliases w:val="Negro,Justificado,Izquierda:  -0,95 cm,Derecha:  0,04 cm"/>
    <w:basedOn w:val="Normal"/>
    <w:uiPriority w:val="99"/>
    <w:rsid w:val="009034B7"/>
    <w:pPr>
      <w:spacing w:after="0" w:line="240" w:lineRule="auto"/>
      <w:ind w:left="-540"/>
      <w:jc w:val="both"/>
    </w:pPr>
    <w:rPr>
      <w:rFonts w:ascii="Arial" w:eastAsia="Times New Roman" w:hAnsi="Arial" w:cs="Arial"/>
      <w:color w:val="000000"/>
      <w:lang w:val="es-ES_tradnl" w:eastAsia="es-ES"/>
    </w:rPr>
  </w:style>
  <w:style w:type="paragraph" w:styleId="Textonotapie">
    <w:name w:val="footnote text"/>
    <w:aliases w:val="Footnote Text Char Char Char Char Char,Footnote Text Char Char Char Char,Ref. de nota al pie1,FA Fu,texto de nota al pie,Footnote Text Char Char Char,Footnote Text Char,Car Car,Footnote reference,Car,ft Car, Car,Nota a pie/Bibliog,ft"/>
    <w:basedOn w:val="Normal"/>
    <w:link w:val="TextonotapieCar"/>
    <w:uiPriority w:val="99"/>
    <w:unhideWhenUsed/>
    <w:qFormat/>
    <w:rsid w:val="009034B7"/>
    <w:pPr>
      <w:spacing w:after="0" w:line="240" w:lineRule="auto"/>
    </w:pPr>
    <w:rPr>
      <w:rFonts w:ascii="Times New Roman" w:eastAsia="MS Mincho" w:hAnsi="Times New Roman" w:cs="Times New Roman"/>
      <w:sz w:val="20"/>
      <w:szCs w:val="20"/>
      <w:lang w:val="es-CO" w:eastAsia="es-CO"/>
    </w:rPr>
  </w:style>
  <w:style w:type="character" w:customStyle="1" w:styleId="TextonotapieCar">
    <w:name w:val="Texto nota pie Car"/>
    <w:aliases w:val="Footnote Text Char Char Char Char Char Car,Footnote Text Char Char Char Char Car,Ref. de nota al pie1 Car,FA Fu Car,texto de nota al pie Car,Footnote Text Char Char Char Car,Footnote Text Char Car,Car Car Car,Footnote reference Car"/>
    <w:basedOn w:val="Fuentedeprrafopredeter"/>
    <w:link w:val="Textonotapie"/>
    <w:uiPriority w:val="99"/>
    <w:rsid w:val="009034B7"/>
    <w:rPr>
      <w:rFonts w:ascii="Times New Roman" w:eastAsia="MS Mincho" w:hAnsi="Times New Roman" w:cs="Times New Roman"/>
      <w:sz w:val="20"/>
      <w:szCs w:val="20"/>
      <w:lang w:eastAsia="es-CO"/>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uiPriority w:val="99"/>
    <w:unhideWhenUsed/>
    <w:qFormat/>
    <w:rsid w:val="009034B7"/>
    <w:rPr>
      <w:vertAlign w:val="superscript"/>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9034B7"/>
    <w:pPr>
      <w:ind w:left="720"/>
      <w:contextualSpacing/>
    </w:pPr>
    <w:rPr>
      <w:rFonts w:ascii="Calibri" w:eastAsia="Calibri" w:hAnsi="Calibri" w:cs="Times New Roman"/>
      <w:lang w:val="es-CO"/>
    </w:rPr>
  </w:style>
  <w:style w:type="paragraph" w:styleId="NormalWeb">
    <w:name w:val="Normal (Web)"/>
    <w:basedOn w:val="Normal"/>
    <w:uiPriority w:val="99"/>
    <w:unhideWhenUsed/>
    <w:rsid w:val="009034B7"/>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034B7"/>
    <w:rPr>
      <w:rFonts w:ascii="Calibri" w:eastAsia="Calibri" w:hAnsi="Calibri" w:cs="Times New Roman"/>
    </w:rPr>
  </w:style>
  <w:style w:type="character" w:styleId="Refdecomentario">
    <w:name w:val="annotation reference"/>
    <w:basedOn w:val="Fuentedeprrafopredeter"/>
    <w:uiPriority w:val="99"/>
    <w:semiHidden/>
    <w:unhideWhenUsed/>
    <w:rsid w:val="009034B7"/>
    <w:rPr>
      <w:sz w:val="16"/>
      <w:szCs w:val="16"/>
    </w:rPr>
  </w:style>
  <w:style w:type="paragraph" w:styleId="Textocomentario">
    <w:name w:val="annotation text"/>
    <w:basedOn w:val="Normal"/>
    <w:link w:val="TextocomentarioCar"/>
    <w:uiPriority w:val="99"/>
    <w:unhideWhenUsed/>
    <w:rsid w:val="009034B7"/>
    <w:pPr>
      <w:spacing w:line="240" w:lineRule="auto"/>
    </w:pPr>
    <w:rPr>
      <w:sz w:val="20"/>
      <w:szCs w:val="20"/>
    </w:rPr>
  </w:style>
  <w:style w:type="character" w:customStyle="1" w:styleId="TextocomentarioCar">
    <w:name w:val="Texto comentario Car"/>
    <w:basedOn w:val="Fuentedeprrafopredeter"/>
    <w:link w:val="Textocomentario"/>
    <w:uiPriority w:val="99"/>
    <w:rsid w:val="009034B7"/>
    <w:rPr>
      <w:sz w:val="20"/>
      <w:szCs w:val="20"/>
      <w:lang w:val="es-ES"/>
    </w:rPr>
  </w:style>
  <w:style w:type="character" w:styleId="Hipervnculo">
    <w:name w:val="Hyperlink"/>
    <w:basedOn w:val="Fuentedeprrafopredeter"/>
    <w:uiPriority w:val="99"/>
    <w:unhideWhenUsed/>
    <w:rsid w:val="009034B7"/>
    <w:rPr>
      <w:color w:val="0000FF"/>
      <w:u w:val="single"/>
    </w:rPr>
  </w:style>
  <w:style w:type="paragraph" w:styleId="Textodeglobo">
    <w:name w:val="Balloon Text"/>
    <w:basedOn w:val="Normal"/>
    <w:link w:val="TextodegloboCar"/>
    <w:uiPriority w:val="99"/>
    <w:semiHidden/>
    <w:unhideWhenUsed/>
    <w:rsid w:val="009034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34B7"/>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822BB7"/>
    <w:rPr>
      <w:b/>
      <w:bCs/>
    </w:rPr>
  </w:style>
  <w:style w:type="character" w:customStyle="1" w:styleId="AsuntodelcomentarioCar">
    <w:name w:val="Asunto del comentario Car"/>
    <w:basedOn w:val="TextocomentarioCar"/>
    <w:link w:val="Asuntodelcomentario"/>
    <w:uiPriority w:val="99"/>
    <w:semiHidden/>
    <w:rsid w:val="00822BB7"/>
    <w:rPr>
      <w:b/>
      <w:bCs/>
      <w:sz w:val="20"/>
      <w:szCs w:val="20"/>
      <w:lang w:val="es-ES"/>
    </w:rPr>
  </w:style>
  <w:style w:type="table" w:styleId="Tablaconcuadrcula">
    <w:name w:val="Table Grid"/>
    <w:basedOn w:val="Tablanormal"/>
    <w:uiPriority w:val="39"/>
    <w:qFormat/>
    <w:rsid w:val="00A2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2-nfasis2">
    <w:name w:val="Grid Table 2 Accent 2"/>
    <w:basedOn w:val="Tablanormal"/>
    <w:uiPriority w:val="47"/>
    <w:rsid w:val="00B8091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3">
    <w:name w:val="List Table 3 Accent 3"/>
    <w:basedOn w:val="Tablanormal"/>
    <w:uiPriority w:val="48"/>
    <w:rsid w:val="002D739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concuadrcula5oscura-nfasis3">
    <w:name w:val="Grid Table 5 Dark Accent 3"/>
    <w:basedOn w:val="Tablanormal"/>
    <w:uiPriority w:val="50"/>
    <w:rsid w:val="00673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6736D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extrun">
    <w:name w:val="textrun"/>
    <w:basedOn w:val="Fuentedeprrafopredeter"/>
    <w:rsid w:val="00D3692F"/>
  </w:style>
  <w:style w:type="character" w:customStyle="1" w:styleId="normaltextrun">
    <w:name w:val="normaltextrun"/>
    <w:basedOn w:val="Fuentedeprrafopredeter"/>
    <w:rsid w:val="00D3692F"/>
  </w:style>
  <w:style w:type="character" w:customStyle="1" w:styleId="eop">
    <w:name w:val="eop"/>
    <w:basedOn w:val="Fuentedeprrafopredeter"/>
    <w:rsid w:val="00D3692F"/>
  </w:style>
  <w:style w:type="table" w:customStyle="1" w:styleId="Tablaconcuadrcula1">
    <w:name w:val="Tabla con cuadrícula1"/>
    <w:basedOn w:val="Tablanormal"/>
    <w:uiPriority w:val="59"/>
    <w:rsid w:val="002F1C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AB382B"/>
    <w:rPr>
      <w:color w:val="605E5C"/>
      <w:shd w:val="clear" w:color="auto" w:fill="E1DFDD"/>
    </w:rPr>
  </w:style>
  <w:style w:type="paragraph" w:styleId="Sangradetextonormal">
    <w:name w:val="Body Text Indent"/>
    <w:basedOn w:val="Normal"/>
    <w:link w:val="SangradetextonormalCar"/>
    <w:uiPriority w:val="99"/>
    <w:semiHidden/>
    <w:unhideWhenUsed/>
    <w:rsid w:val="00407523"/>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SangradetextonormalCar">
    <w:name w:val="Sangría de texto normal Car"/>
    <w:basedOn w:val="Fuentedeprrafopredeter"/>
    <w:link w:val="Sangradetextonormal"/>
    <w:uiPriority w:val="99"/>
    <w:semiHidden/>
    <w:rsid w:val="00407523"/>
    <w:rPr>
      <w:rFonts w:ascii="Times New Roman" w:eastAsia="Times New Roman" w:hAnsi="Times New Roman" w:cs="Times New Roman"/>
      <w:sz w:val="24"/>
      <w:szCs w:val="24"/>
      <w:lang w:eastAsia="es-CO"/>
    </w:rPr>
  </w:style>
  <w:style w:type="table" w:customStyle="1" w:styleId="Tablaconcuadrcula11">
    <w:name w:val="Tabla con cuadrícula11"/>
    <w:basedOn w:val="Tablanormal"/>
    <w:next w:val="Tablaconcuadrcula"/>
    <w:uiPriority w:val="59"/>
    <w:rsid w:val="00563D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DF09F1"/>
    <w:rPr>
      <w:color w:val="954F72" w:themeColor="followedHyperlink"/>
      <w:u w:val="single"/>
    </w:rPr>
  </w:style>
  <w:style w:type="paragraph" w:styleId="Revisin">
    <w:name w:val="Revision"/>
    <w:hidden/>
    <w:uiPriority w:val="99"/>
    <w:semiHidden/>
    <w:rsid w:val="000151FD"/>
    <w:pPr>
      <w:spacing w:after="0" w:line="240" w:lineRule="auto"/>
    </w:pPr>
    <w:rPr>
      <w:lang w:val="es-ES"/>
    </w:rPr>
  </w:style>
  <w:style w:type="paragraph" w:customStyle="1" w:styleId="Titulo1">
    <w:name w:val="Titulo 1"/>
    <w:qFormat/>
    <w:rsid w:val="00713264"/>
    <w:rPr>
      <w:rFonts w:ascii="Geomanist Bold" w:eastAsiaTheme="minorEastAsia" w:hAnsi="Geomanist Bold" w:cs="Calibri"/>
      <w:color w:val="002060"/>
      <w:sz w:val="24"/>
      <w:lang w:val="es-ES" w:eastAsia="es-CO"/>
    </w:rPr>
  </w:style>
  <w:style w:type="table" w:customStyle="1" w:styleId="Tablaconcuadrcula3">
    <w:name w:val="Tabla con cuadrícula3"/>
    <w:basedOn w:val="Tablanormal"/>
    <w:next w:val="Tablaconcuadrcula"/>
    <w:uiPriority w:val="59"/>
    <w:rsid w:val="00DF1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sid w:val="006C2342"/>
    <w:rPr>
      <w:color w:val="2B579A"/>
      <w:shd w:val="clear" w:color="auto" w:fill="E6E6E6"/>
    </w:rPr>
  </w:style>
  <w:style w:type="character" w:customStyle="1" w:styleId="Ttulo3Car">
    <w:name w:val="Título 3 Car"/>
    <w:basedOn w:val="Fuentedeprrafopredeter"/>
    <w:link w:val="Ttulo3"/>
    <w:uiPriority w:val="9"/>
    <w:rsid w:val="00500582"/>
    <w:rPr>
      <w:rFonts w:ascii="Century Gothic" w:eastAsiaTheme="majorEastAsia" w:hAnsi="Century Gothic" w:cstheme="majorBidi"/>
      <w:bCs/>
      <w:iCs/>
      <w:color w:val="2F5496" w:themeColor="accent1" w:themeShade="BF"/>
    </w:rPr>
  </w:style>
  <w:style w:type="character" w:customStyle="1" w:styleId="Ttulo1Car">
    <w:name w:val="Título 1 Car"/>
    <w:basedOn w:val="Fuentedeprrafopredeter"/>
    <w:link w:val="Ttulo1"/>
    <w:uiPriority w:val="9"/>
    <w:rsid w:val="00500582"/>
    <w:rPr>
      <w:rFonts w:asciiTheme="majorHAnsi" w:eastAsiaTheme="majorEastAsia" w:hAnsiTheme="majorHAnsi" w:cstheme="majorBidi"/>
      <w:color w:val="2F5496" w:themeColor="accent1" w:themeShade="BF"/>
      <w:sz w:val="32"/>
      <w:szCs w:val="32"/>
      <w:lang w:val="es-ES"/>
    </w:rPr>
  </w:style>
  <w:style w:type="character" w:customStyle="1" w:styleId="Ttulo2Car">
    <w:name w:val="Título 2 Car"/>
    <w:basedOn w:val="Fuentedeprrafopredeter"/>
    <w:link w:val="Ttulo2"/>
    <w:uiPriority w:val="9"/>
    <w:semiHidden/>
    <w:rsid w:val="00500582"/>
    <w:rPr>
      <w:rFonts w:asciiTheme="majorHAnsi" w:eastAsiaTheme="majorEastAsia" w:hAnsiTheme="majorHAnsi" w:cstheme="majorBidi"/>
      <w:color w:val="2F5496" w:themeColor="accent1" w:themeShade="BF"/>
      <w:sz w:val="26"/>
      <w:szCs w:val="26"/>
      <w:lang w:val="es-ES"/>
    </w:rPr>
  </w:style>
  <w:style w:type="paragraph" w:styleId="Descripcin">
    <w:name w:val="caption"/>
    <w:basedOn w:val="Normal"/>
    <w:next w:val="Normal"/>
    <w:autoRedefine/>
    <w:uiPriority w:val="35"/>
    <w:unhideWhenUsed/>
    <w:qFormat/>
    <w:rsid w:val="00081F52"/>
    <w:pPr>
      <w:spacing w:after="200" w:line="240" w:lineRule="auto"/>
      <w:jc w:val="center"/>
    </w:pPr>
    <w:rPr>
      <w:rFonts w:ascii="Verdana" w:hAnsi="Verdana" w:cs="Arial"/>
      <w:i/>
      <w:color w:val="000000" w:themeColor="text1"/>
      <w:sz w:val="16"/>
      <w:szCs w:val="16"/>
      <w:lang w:val="es-CO"/>
    </w:rPr>
  </w:style>
  <w:style w:type="table" w:styleId="Tablaconcuadrculaclara">
    <w:name w:val="Grid Table Light"/>
    <w:basedOn w:val="Tablanormal"/>
    <w:uiPriority w:val="40"/>
    <w:rsid w:val="00BB20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448393">
      <w:bodyDiv w:val="1"/>
      <w:marLeft w:val="0"/>
      <w:marRight w:val="0"/>
      <w:marTop w:val="0"/>
      <w:marBottom w:val="0"/>
      <w:divBdr>
        <w:top w:val="none" w:sz="0" w:space="0" w:color="auto"/>
        <w:left w:val="none" w:sz="0" w:space="0" w:color="auto"/>
        <w:bottom w:val="none" w:sz="0" w:space="0" w:color="auto"/>
        <w:right w:val="none" w:sz="0" w:space="0" w:color="auto"/>
      </w:divBdr>
    </w:div>
    <w:div w:id="324745804">
      <w:bodyDiv w:val="1"/>
      <w:marLeft w:val="0"/>
      <w:marRight w:val="0"/>
      <w:marTop w:val="0"/>
      <w:marBottom w:val="0"/>
      <w:divBdr>
        <w:top w:val="none" w:sz="0" w:space="0" w:color="auto"/>
        <w:left w:val="none" w:sz="0" w:space="0" w:color="auto"/>
        <w:bottom w:val="none" w:sz="0" w:space="0" w:color="auto"/>
        <w:right w:val="none" w:sz="0" w:space="0" w:color="auto"/>
      </w:divBdr>
    </w:div>
    <w:div w:id="401025076">
      <w:bodyDiv w:val="1"/>
      <w:marLeft w:val="0"/>
      <w:marRight w:val="0"/>
      <w:marTop w:val="0"/>
      <w:marBottom w:val="0"/>
      <w:divBdr>
        <w:top w:val="none" w:sz="0" w:space="0" w:color="auto"/>
        <w:left w:val="none" w:sz="0" w:space="0" w:color="auto"/>
        <w:bottom w:val="none" w:sz="0" w:space="0" w:color="auto"/>
        <w:right w:val="none" w:sz="0" w:space="0" w:color="auto"/>
      </w:divBdr>
    </w:div>
    <w:div w:id="467361785">
      <w:bodyDiv w:val="1"/>
      <w:marLeft w:val="0"/>
      <w:marRight w:val="0"/>
      <w:marTop w:val="0"/>
      <w:marBottom w:val="0"/>
      <w:divBdr>
        <w:top w:val="none" w:sz="0" w:space="0" w:color="auto"/>
        <w:left w:val="none" w:sz="0" w:space="0" w:color="auto"/>
        <w:bottom w:val="none" w:sz="0" w:space="0" w:color="auto"/>
        <w:right w:val="none" w:sz="0" w:space="0" w:color="auto"/>
      </w:divBdr>
    </w:div>
    <w:div w:id="798574943">
      <w:bodyDiv w:val="1"/>
      <w:marLeft w:val="0"/>
      <w:marRight w:val="0"/>
      <w:marTop w:val="0"/>
      <w:marBottom w:val="0"/>
      <w:divBdr>
        <w:top w:val="none" w:sz="0" w:space="0" w:color="auto"/>
        <w:left w:val="none" w:sz="0" w:space="0" w:color="auto"/>
        <w:bottom w:val="none" w:sz="0" w:space="0" w:color="auto"/>
        <w:right w:val="none" w:sz="0" w:space="0" w:color="auto"/>
      </w:divBdr>
    </w:div>
    <w:div w:id="855777488">
      <w:bodyDiv w:val="1"/>
      <w:marLeft w:val="0"/>
      <w:marRight w:val="0"/>
      <w:marTop w:val="0"/>
      <w:marBottom w:val="0"/>
      <w:divBdr>
        <w:top w:val="none" w:sz="0" w:space="0" w:color="auto"/>
        <w:left w:val="none" w:sz="0" w:space="0" w:color="auto"/>
        <w:bottom w:val="none" w:sz="0" w:space="0" w:color="auto"/>
        <w:right w:val="none" w:sz="0" w:space="0" w:color="auto"/>
      </w:divBdr>
    </w:div>
    <w:div w:id="1192493285">
      <w:bodyDiv w:val="1"/>
      <w:marLeft w:val="0"/>
      <w:marRight w:val="0"/>
      <w:marTop w:val="0"/>
      <w:marBottom w:val="0"/>
      <w:divBdr>
        <w:top w:val="none" w:sz="0" w:space="0" w:color="auto"/>
        <w:left w:val="none" w:sz="0" w:space="0" w:color="auto"/>
        <w:bottom w:val="none" w:sz="0" w:space="0" w:color="auto"/>
        <w:right w:val="none" w:sz="0" w:space="0" w:color="auto"/>
      </w:divBdr>
    </w:div>
    <w:div w:id="1249388901">
      <w:bodyDiv w:val="1"/>
      <w:marLeft w:val="0"/>
      <w:marRight w:val="0"/>
      <w:marTop w:val="0"/>
      <w:marBottom w:val="0"/>
      <w:divBdr>
        <w:top w:val="none" w:sz="0" w:space="0" w:color="auto"/>
        <w:left w:val="none" w:sz="0" w:space="0" w:color="auto"/>
        <w:bottom w:val="none" w:sz="0" w:space="0" w:color="auto"/>
        <w:right w:val="none" w:sz="0" w:space="0" w:color="auto"/>
      </w:divBdr>
    </w:div>
    <w:div w:id="1270746029">
      <w:bodyDiv w:val="1"/>
      <w:marLeft w:val="0"/>
      <w:marRight w:val="0"/>
      <w:marTop w:val="0"/>
      <w:marBottom w:val="0"/>
      <w:divBdr>
        <w:top w:val="none" w:sz="0" w:space="0" w:color="auto"/>
        <w:left w:val="none" w:sz="0" w:space="0" w:color="auto"/>
        <w:bottom w:val="none" w:sz="0" w:space="0" w:color="auto"/>
        <w:right w:val="none" w:sz="0" w:space="0" w:color="auto"/>
      </w:divBdr>
    </w:div>
    <w:div w:id="1389567219">
      <w:bodyDiv w:val="1"/>
      <w:marLeft w:val="0"/>
      <w:marRight w:val="0"/>
      <w:marTop w:val="0"/>
      <w:marBottom w:val="0"/>
      <w:divBdr>
        <w:top w:val="none" w:sz="0" w:space="0" w:color="auto"/>
        <w:left w:val="none" w:sz="0" w:space="0" w:color="auto"/>
        <w:bottom w:val="none" w:sz="0" w:space="0" w:color="auto"/>
        <w:right w:val="none" w:sz="0" w:space="0" w:color="auto"/>
      </w:divBdr>
    </w:div>
    <w:div w:id="1475561281">
      <w:bodyDiv w:val="1"/>
      <w:marLeft w:val="0"/>
      <w:marRight w:val="0"/>
      <w:marTop w:val="0"/>
      <w:marBottom w:val="0"/>
      <w:divBdr>
        <w:top w:val="none" w:sz="0" w:space="0" w:color="auto"/>
        <w:left w:val="none" w:sz="0" w:space="0" w:color="auto"/>
        <w:bottom w:val="none" w:sz="0" w:space="0" w:color="auto"/>
        <w:right w:val="none" w:sz="0" w:space="0" w:color="auto"/>
      </w:divBdr>
    </w:div>
    <w:div w:id="1490750827">
      <w:bodyDiv w:val="1"/>
      <w:marLeft w:val="0"/>
      <w:marRight w:val="0"/>
      <w:marTop w:val="0"/>
      <w:marBottom w:val="0"/>
      <w:divBdr>
        <w:top w:val="none" w:sz="0" w:space="0" w:color="auto"/>
        <w:left w:val="none" w:sz="0" w:space="0" w:color="auto"/>
        <w:bottom w:val="none" w:sz="0" w:space="0" w:color="auto"/>
        <w:right w:val="none" w:sz="0" w:space="0" w:color="auto"/>
      </w:divBdr>
    </w:div>
    <w:div w:id="1626736918">
      <w:bodyDiv w:val="1"/>
      <w:marLeft w:val="0"/>
      <w:marRight w:val="0"/>
      <w:marTop w:val="0"/>
      <w:marBottom w:val="0"/>
      <w:divBdr>
        <w:top w:val="none" w:sz="0" w:space="0" w:color="auto"/>
        <w:left w:val="none" w:sz="0" w:space="0" w:color="auto"/>
        <w:bottom w:val="none" w:sz="0" w:space="0" w:color="auto"/>
        <w:right w:val="none" w:sz="0" w:space="0" w:color="auto"/>
      </w:divBdr>
    </w:div>
    <w:div w:id="1654987044">
      <w:bodyDiv w:val="1"/>
      <w:marLeft w:val="0"/>
      <w:marRight w:val="0"/>
      <w:marTop w:val="0"/>
      <w:marBottom w:val="0"/>
      <w:divBdr>
        <w:top w:val="none" w:sz="0" w:space="0" w:color="auto"/>
        <w:left w:val="none" w:sz="0" w:space="0" w:color="auto"/>
        <w:bottom w:val="none" w:sz="0" w:space="0" w:color="auto"/>
        <w:right w:val="none" w:sz="0" w:space="0" w:color="auto"/>
      </w:divBdr>
    </w:div>
    <w:div w:id="1739329221">
      <w:bodyDiv w:val="1"/>
      <w:marLeft w:val="0"/>
      <w:marRight w:val="0"/>
      <w:marTop w:val="0"/>
      <w:marBottom w:val="0"/>
      <w:divBdr>
        <w:top w:val="none" w:sz="0" w:space="0" w:color="auto"/>
        <w:left w:val="none" w:sz="0" w:space="0" w:color="auto"/>
        <w:bottom w:val="none" w:sz="0" w:space="0" w:color="auto"/>
        <w:right w:val="none" w:sz="0" w:space="0" w:color="auto"/>
      </w:divBdr>
    </w:div>
    <w:div w:id="1798916212">
      <w:bodyDiv w:val="1"/>
      <w:marLeft w:val="0"/>
      <w:marRight w:val="0"/>
      <w:marTop w:val="0"/>
      <w:marBottom w:val="0"/>
      <w:divBdr>
        <w:top w:val="none" w:sz="0" w:space="0" w:color="auto"/>
        <w:left w:val="none" w:sz="0" w:space="0" w:color="auto"/>
        <w:bottom w:val="none" w:sz="0" w:space="0" w:color="auto"/>
        <w:right w:val="none" w:sz="0" w:space="0" w:color="auto"/>
      </w:divBdr>
    </w:div>
    <w:div w:id="1845625479">
      <w:bodyDiv w:val="1"/>
      <w:marLeft w:val="0"/>
      <w:marRight w:val="0"/>
      <w:marTop w:val="0"/>
      <w:marBottom w:val="0"/>
      <w:divBdr>
        <w:top w:val="none" w:sz="0" w:space="0" w:color="auto"/>
        <w:left w:val="none" w:sz="0" w:space="0" w:color="auto"/>
        <w:bottom w:val="none" w:sz="0" w:space="0" w:color="auto"/>
        <w:right w:val="none" w:sz="0" w:space="0" w:color="auto"/>
      </w:divBdr>
    </w:div>
    <w:div w:id="1852795708">
      <w:bodyDiv w:val="1"/>
      <w:marLeft w:val="0"/>
      <w:marRight w:val="0"/>
      <w:marTop w:val="0"/>
      <w:marBottom w:val="0"/>
      <w:divBdr>
        <w:top w:val="none" w:sz="0" w:space="0" w:color="auto"/>
        <w:left w:val="none" w:sz="0" w:space="0" w:color="auto"/>
        <w:bottom w:val="none" w:sz="0" w:space="0" w:color="auto"/>
        <w:right w:val="none" w:sz="0" w:space="0" w:color="auto"/>
      </w:divBdr>
    </w:div>
    <w:div w:id="18881002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s://onl.dnp.gov.co/Paginas/Plan-Maestro-Transporte-Intermodal-PMTI.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No xmlns="9d85dbaf-23eb-4e57-a637-93dcacc8b1a1" xsi:nil="true"/>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C3AA5-6E3A-4182-A74D-0643CAB03363}">
  <ds:schemaRefs>
    <ds:schemaRef ds:uri="http://schemas.microsoft.com/sharepoint/v3/contenttype/forms"/>
  </ds:schemaRefs>
</ds:datastoreItem>
</file>

<file path=customXml/itemProps2.xml><?xml version="1.0" encoding="utf-8"?>
<ds:datastoreItem xmlns:ds="http://schemas.openxmlformats.org/officeDocument/2006/customXml" ds:itemID="{BA4D0271-840E-4D4C-8462-FFF4373C69F9}">
  <ds:schemaRefs>
    <ds:schemaRef ds:uri="http://schemas.microsoft.com/sharepoint/v3/contenttype/forms"/>
  </ds:schemaRefs>
</ds:datastoreItem>
</file>

<file path=customXml/itemProps3.xml><?xml version="1.0" encoding="utf-8"?>
<ds:datastoreItem xmlns:ds="http://schemas.openxmlformats.org/officeDocument/2006/customXml" ds:itemID="{F1FEF94E-1BAA-4FB7-8ACD-8D2F7A3224D1}">
  <ds:schemaRef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infopath/2007/PartnerControls"/>
    <ds:schemaRef ds:uri="a6cb9e4b-f1d1-4245-83ec-6cad768d538a"/>
    <ds:schemaRef ds:uri="http://purl.org/dc/terms/"/>
    <ds:schemaRef ds:uri="9d85dbaf-23eb-4e57-a637-93dcacc8b1a1"/>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70A85ED6-7083-4D2F-B170-7556D4AE6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776B9B-0EC0-504D-9B80-73E30178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28</Pages>
  <Words>8814</Words>
  <Characters>48480</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Alexandra Acevedo Villalba</dc:creator>
  <cp:keywords/>
  <dc:description/>
  <cp:lastModifiedBy>Sonia Rocio Rodriguez Cruz</cp:lastModifiedBy>
  <cp:revision>70</cp:revision>
  <dcterms:created xsi:type="dcterms:W3CDTF">2024-10-16T20:52:00Z</dcterms:created>
  <dcterms:modified xsi:type="dcterms:W3CDTF">2024-10-21T17:18:00Z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19896300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